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16B90" w14:textId="5E820CA9" w:rsidR="00C465A6" w:rsidRDefault="00C465A6" w:rsidP="00B50154">
      <w:pPr>
        <w:rPr>
          <w:sz w:val="24"/>
          <w:szCs w:val="24"/>
        </w:rPr>
      </w:pPr>
      <w:bookmarkStart w:id="0" w:name="_Toc70926699"/>
      <w:r w:rsidRPr="00CA06A9">
        <w:rPr>
          <w:rFonts w:eastAsia="Calibri" w:cstheme="minorHAnsi"/>
          <w:b/>
          <w:noProof/>
          <w:sz w:val="26"/>
          <w:szCs w:val="26"/>
          <w:lang w:eastAsia="es-DO"/>
        </w:rPr>
        <w:drawing>
          <wp:anchor distT="0" distB="0" distL="114300" distR="114300" simplePos="0" relativeHeight="251659264" behindDoc="1" locked="0" layoutInCell="1" allowOverlap="1" wp14:anchorId="4EEEB662" wp14:editId="533B4CC2">
            <wp:simplePos x="0" y="0"/>
            <wp:positionH relativeFrom="margin">
              <wp:posOffset>-432435</wp:posOffset>
            </wp:positionH>
            <wp:positionV relativeFrom="paragraph">
              <wp:posOffset>90805</wp:posOffset>
            </wp:positionV>
            <wp:extent cx="6210300" cy="92106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921067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E124F09" w14:textId="77777777" w:rsidR="00E1173A" w:rsidRDefault="00E1173A" w:rsidP="00B50154">
      <w:pPr>
        <w:rPr>
          <w:sz w:val="24"/>
          <w:szCs w:val="24"/>
        </w:rPr>
      </w:pPr>
    </w:p>
    <w:p w14:paraId="4F3BF24A" w14:textId="77777777" w:rsidR="00E1173A" w:rsidRDefault="00E1173A" w:rsidP="00B50154">
      <w:pPr>
        <w:rPr>
          <w:sz w:val="24"/>
          <w:szCs w:val="24"/>
        </w:rPr>
      </w:pPr>
    </w:p>
    <w:p w14:paraId="195B2C95" w14:textId="77777777" w:rsidR="00273B48" w:rsidRDefault="00273B48" w:rsidP="00B50154">
      <w:pPr>
        <w:rPr>
          <w:sz w:val="24"/>
          <w:szCs w:val="24"/>
        </w:rPr>
      </w:pPr>
    </w:p>
    <w:p w14:paraId="7164D480" w14:textId="4439157B" w:rsidR="00C465A6" w:rsidRDefault="00C465A6" w:rsidP="00B50154">
      <w:pPr>
        <w:rPr>
          <w:sz w:val="24"/>
          <w:szCs w:val="24"/>
        </w:rPr>
      </w:pPr>
    </w:p>
    <w:p w14:paraId="5CF9E793" w14:textId="3493375F" w:rsidR="00C465A6" w:rsidRDefault="00C465A6" w:rsidP="00B50154">
      <w:pPr>
        <w:rPr>
          <w:sz w:val="24"/>
          <w:szCs w:val="24"/>
        </w:rPr>
      </w:pPr>
    </w:p>
    <w:p w14:paraId="470F03C4" w14:textId="77777777" w:rsidR="00273B48" w:rsidRDefault="00273B48" w:rsidP="00C465A6">
      <w:pPr>
        <w:pStyle w:val="NormalWeb"/>
        <w:spacing w:before="0" w:beforeAutospacing="0" w:after="0" w:afterAutospacing="0"/>
        <w:rPr>
          <w:rFonts w:asciiTheme="minorHAnsi" w:hAnsiTheme="minorHAnsi" w:cstheme="minorHAnsi"/>
          <w:b/>
          <w:bCs/>
          <w:color w:val="002060"/>
          <w:kern w:val="24"/>
          <w:sz w:val="64"/>
          <w:szCs w:val="64"/>
          <w:lang w:val="es-ES"/>
        </w:rPr>
      </w:pPr>
    </w:p>
    <w:p w14:paraId="68219642" w14:textId="261F0E23" w:rsidR="00C465A6" w:rsidRPr="00CA06A9" w:rsidRDefault="00A95594" w:rsidP="00470073">
      <w:pPr>
        <w:pStyle w:val="NormalWeb"/>
        <w:spacing w:before="0" w:beforeAutospacing="0" w:after="0" w:afterAutospacing="0"/>
        <w:ind w:left="-270"/>
        <w:rPr>
          <w:rFonts w:asciiTheme="minorHAnsi" w:hAnsiTheme="minorHAnsi" w:cstheme="minorHAnsi"/>
          <w:lang w:val="es-DO"/>
        </w:rPr>
      </w:pPr>
      <w:r w:rsidRPr="00CA06A9">
        <w:rPr>
          <w:rFonts w:asciiTheme="minorHAnsi" w:hAnsiTheme="minorHAnsi" w:cstheme="minorHAnsi"/>
          <w:b/>
          <w:bCs/>
          <w:color w:val="002060"/>
          <w:kern w:val="24"/>
          <w:sz w:val="64"/>
          <w:szCs w:val="64"/>
          <w:lang w:val="es-ES"/>
        </w:rPr>
        <w:t xml:space="preserve">Informe </w:t>
      </w:r>
      <w:r>
        <w:rPr>
          <w:rFonts w:asciiTheme="minorHAnsi" w:hAnsiTheme="minorHAnsi" w:cstheme="minorHAnsi"/>
          <w:b/>
          <w:bCs/>
          <w:color w:val="002060"/>
          <w:kern w:val="24"/>
          <w:sz w:val="64"/>
          <w:szCs w:val="64"/>
          <w:lang w:val="es-ES"/>
        </w:rPr>
        <w:t>o</w:t>
      </w:r>
      <w:r w:rsidR="00B77D73">
        <w:rPr>
          <w:rFonts w:asciiTheme="minorHAnsi" w:hAnsiTheme="minorHAnsi" w:cstheme="minorHAnsi"/>
          <w:b/>
          <w:bCs/>
          <w:color w:val="002060"/>
          <w:kern w:val="24"/>
          <w:sz w:val="64"/>
          <w:szCs w:val="64"/>
          <w:lang w:val="es-ES"/>
        </w:rPr>
        <w:t xml:space="preserve"> </w:t>
      </w:r>
      <w:r w:rsidR="00B77D73" w:rsidRPr="00A95594">
        <w:rPr>
          <w:rFonts w:asciiTheme="minorHAnsi" w:hAnsiTheme="minorHAnsi" w:cstheme="minorHAnsi"/>
          <w:b/>
          <w:bCs/>
          <w:color w:val="002060"/>
          <w:kern w:val="24"/>
          <w:sz w:val="64"/>
          <w:szCs w:val="64"/>
          <w:lang w:val="es-ES"/>
        </w:rPr>
        <w:t>Boletín</w:t>
      </w:r>
      <w:r w:rsidR="00B77D73" w:rsidRPr="003540CF">
        <w:rPr>
          <w:rFonts w:asciiTheme="minorHAnsi" w:hAnsiTheme="minorHAnsi" w:cstheme="minorHAnsi"/>
          <w:b/>
          <w:bCs/>
          <w:color w:val="1F3864" w:themeColor="accent1" w:themeShade="80"/>
          <w:kern w:val="24"/>
          <w:sz w:val="64"/>
          <w:szCs w:val="64"/>
          <w:lang w:val="es-ES"/>
        </w:rPr>
        <w:t xml:space="preserve"> </w:t>
      </w:r>
      <w:r w:rsidR="00C465A6" w:rsidRPr="00CA06A9">
        <w:rPr>
          <w:rFonts w:asciiTheme="minorHAnsi" w:hAnsiTheme="minorHAnsi" w:cstheme="minorHAnsi"/>
          <w:b/>
          <w:bCs/>
          <w:color w:val="002060"/>
          <w:kern w:val="24"/>
          <w:sz w:val="64"/>
          <w:szCs w:val="64"/>
          <w:lang w:val="es-ES"/>
        </w:rPr>
        <w:t>de</w:t>
      </w:r>
      <w:r w:rsidR="00C465A6">
        <w:rPr>
          <w:rFonts w:asciiTheme="minorHAnsi" w:hAnsiTheme="minorHAnsi" w:cstheme="minorHAnsi"/>
          <w:b/>
          <w:bCs/>
          <w:color w:val="002060"/>
          <w:kern w:val="24"/>
          <w:sz w:val="64"/>
          <w:szCs w:val="64"/>
          <w:lang w:val="es-ES"/>
        </w:rPr>
        <w:t xml:space="preserve"> Precios de Fertilizantes</w:t>
      </w:r>
      <w:r>
        <w:rPr>
          <w:rFonts w:asciiTheme="minorHAnsi" w:hAnsiTheme="minorHAnsi" w:cstheme="minorHAnsi"/>
          <w:b/>
          <w:bCs/>
          <w:color w:val="002060"/>
          <w:kern w:val="24"/>
          <w:sz w:val="64"/>
          <w:szCs w:val="64"/>
          <w:lang w:val="es-ES"/>
        </w:rPr>
        <w:t xml:space="preserve"> de los Años</w:t>
      </w:r>
    </w:p>
    <w:p w14:paraId="192E1DF6" w14:textId="11D08B66" w:rsidR="00E1173A" w:rsidRDefault="00B77C88" w:rsidP="00470073">
      <w:pPr>
        <w:pStyle w:val="NormalWeb"/>
        <w:spacing w:before="0" w:beforeAutospacing="0" w:after="0" w:afterAutospacing="0"/>
        <w:ind w:hanging="270"/>
        <w:rPr>
          <w:rFonts w:asciiTheme="minorHAnsi" w:hAnsiTheme="minorHAnsi" w:cstheme="minorHAnsi"/>
          <w:b/>
          <w:bCs/>
          <w:color w:val="002060"/>
          <w:kern w:val="24"/>
          <w:sz w:val="40"/>
          <w:szCs w:val="40"/>
          <w:lang w:val="es-ES"/>
        </w:rPr>
      </w:pPr>
      <w:r>
        <w:rPr>
          <w:rFonts w:asciiTheme="minorHAnsi" w:hAnsiTheme="minorHAnsi" w:cstheme="minorHAnsi"/>
          <w:b/>
          <w:bCs/>
          <w:color w:val="002060"/>
          <w:kern w:val="24"/>
          <w:sz w:val="40"/>
          <w:szCs w:val="40"/>
          <w:lang w:val="es-ES"/>
        </w:rPr>
        <w:t>Enero-</w:t>
      </w:r>
      <w:proofErr w:type="gramStart"/>
      <w:r w:rsidR="00F96D14">
        <w:rPr>
          <w:rFonts w:asciiTheme="minorHAnsi" w:hAnsiTheme="minorHAnsi" w:cstheme="minorHAnsi"/>
          <w:b/>
          <w:bCs/>
          <w:color w:val="002060"/>
          <w:kern w:val="24"/>
          <w:sz w:val="40"/>
          <w:szCs w:val="40"/>
          <w:lang w:val="es-ES"/>
        </w:rPr>
        <w:t>Junio</w:t>
      </w:r>
      <w:proofErr w:type="gramEnd"/>
      <w:r w:rsidR="00C465A6">
        <w:rPr>
          <w:rFonts w:asciiTheme="minorHAnsi" w:hAnsiTheme="minorHAnsi" w:cstheme="minorHAnsi"/>
          <w:b/>
          <w:bCs/>
          <w:color w:val="002060"/>
          <w:kern w:val="24"/>
          <w:sz w:val="40"/>
          <w:szCs w:val="40"/>
          <w:lang w:val="es-ES"/>
        </w:rPr>
        <w:t xml:space="preserve"> 202</w:t>
      </w:r>
      <w:r w:rsidR="00F96D14">
        <w:rPr>
          <w:rFonts w:asciiTheme="minorHAnsi" w:hAnsiTheme="minorHAnsi" w:cstheme="minorHAnsi"/>
          <w:b/>
          <w:bCs/>
          <w:color w:val="002060"/>
          <w:kern w:val="24"/>
          <w:sz w:val="40"/>
          <w:szCs w:val="40"/>
          <w:lang w:val="es-ES"/>
        </w:rPr>
        <w:t>4</w:t>
      </w:r>
      <w:r w:rsidR="00C465A6">
        <w:rPr>
          <w:rFonts w:asciiTheme="minorHAnsi" w:hAnsiTheme="minorHAnsi" w:cstheme="minorHAnsi"/>
          <w:b/>
          <w:bCs/>
          <w:color w:val="002060"/>
          <w:kern w:val="24"/>
          <w:sz w:val="40"/>
          <w:szCs w:val="40"/>
          <w:lang w:val="es-ES"/>
        </w:rPr>
        <w:t xml:space="preserve"> Vs.</w:t>
      </w:r>
      <w:r>
        <w:rPr>
          <w:rFonts w:asciiTheme="minorHAnsi" w:hAnsiTheme="minorHAnsi" w:cstheme="minorHAnsi"/>
          <w:b/>
          <w:bCs/>
          <w:color w:val="002060"/>
          <w:kern w:val="24"/>
          <w:sz w:val="40"/>
          <w:szCs w:val="40"/>
          <w:lang w:val="es-ES"/>
        </w:rPr>
        <w:t xml:space="preserve"> </w:t>
      </w:r>
      <w:r w:rsidR="00C465A6" w:rsidRPr="00CA06A9">
        <w:rPr>
          <w:rFonts w:asciiTheme="minorHAnsi" w:hAnsiTheme="minorHAnsi" w:cstheme="minorHAnsi"/>
          <w:b/>
          <w:bCs/>
          <w:color w:val="002060"/>
          <w:kern w:val="24"/>
          <w:sz w:val="40"/>
          <w:szCs w:val="40"/>
          <w:lang w:val="es-ES"/>
        </w:rPr>
        <w:t>202</w:t>
      </w:r>
      <w:r w:rsidR="00F96D14">
        <w:rPr>
          <w:rFonts w:asciiTheme="minorHAnsi" w:hAnsiTheme="minorHAnsi" w:cstheme="minorHAnsi"/>
          <w:b/>
          <w:bCs/>
          <w:color w:val="002060"/>
          <w:kern w:val="24"/>
          <w:sz w:val="40"/>
          <w:szCs w:val="40"/>
          <w:lang w:val="es-ES"/>
        </w:rPr>
        <w:t>5</w:t>
      </w:r>
      <w:r w:rsidR="00E1173A">
        <w:rPr>
          <w:rFonts w:asciiTheme="minorHAnsi" w:hAnsiTheme="minorHAnsi" w:cstheme="minorHAnsi"/>
          <w:b/>
          <w:bCs/>
          <w:color w:val="002060"/>
          <w:kern w:val="24"/>
          <w:sz w:val="40"/>
          <w:szCs w:val="40"/>
          <w:lang w:val="es-ES"/>
        </w:rPr>
        <w:t>.</w:t>
      </w:r>
    </w:p>
    <w:p w14:paraId="20D799D2" w14:textId="77777777" w:rsidR="00E1173A" w:rsidRDefault="00E1173A" w:rsidP="00470073">
      <w:pPr>
        <w:pStyle w:val="NormalWeb"/>
        <w:spacing w:before="0" w:beforeAutospacing="0" w:after="0" w:afterAutospacing="0"/>
        <w:ind w:hanging="270"/>
        <w:rPr>
          <w:rFonts w:asciiTheme="minorHAnsi" w:hAnsiTheme="minorHAnsi" w:cstheme="minorHAnsi"/>
          <w:b/>
          <w:bCs/>
          <w:color w:val="002060"/>
          <w:kern w:val="24"/>
          <w:sz w:val="40"/>
          <w:szCs w:val="40"/>
          <w:lang w:val="es-ES"/>
        </w:rPr>
      </w:pPr>
    </w:p>
    <w:p w14:paraId="0D57C1EF" w14:textId="77777777" w:rsidR="00C465A6" w:rsidRPr="00CA06A9" w:rsidRDefault="00C465A6" w:rsidP="00470073">
      <w:pPr>
        <w:pStyle w:val="NormalWeb"/>
        <w:spacing w:before="0" w:beforeAutospacing="0" w:after="0" w:afterAutospacing="0"/>
        <w:ind w:left="-270"/>
        <w:rPr>
          <w:rFonts w:asciiTheme="minorHAnsi" w:hAnsiTheme="minorHAnsi" w:cstheme="minorHAnsi"/>
          <w:b/>
          <w:bCs/>
          <w:lang w:val="es-DO"/>
        </w:rPr>
      </w:pPr>
      <w:r w:rsidRPr="00CA06A9">
        <w:rPr>
          <w:rFonts w:asciiTheme="minorHAnsi" w:hAnsiTheme="minorHAnsi" w:cstheme="minorHAnsi"/>
          <w:b/>
          <w:bCs/>
          <w:color w:val="000000" w:themeColor="text1"/>
          <w:kern w:val="24"/>
          <w:sz w:val="32"/>
          <w:szCs w:val="32"/>
          <w:lang w:val="es-ES"/>
        </w:rPr>
        <w:t>Viceministerio de Planificación Sectorial Agropecuaria</w:t>
      </w:r>
    </w:p>
    <w:p w14:paraId="7AB7A4E5" w14:textId="30D13DA8" w:rsidR="00C465A6" w:rsidRDefault="00C465A6" w:rsidP="00470073">
      <w:pPr>
        <w:pStyle w:val="NormalWeb"/>
        <w:spacing w:before="0" w:beforeAutospacing="0" w:after="0" w:afterAutospacing="0"/>
        <w:ind w:left="-270"/>
        <w:rPr>
          <w:rFonts w:asciiTheme="minorHAnsi" w:hAnsiTheme="minorHAnsi" w:cstheme="minorHAnsi"/>
          <w:b/>
          <w:bCs/>
          <w:color w:val="000000" w:themeColor="text1"/>
          <w:kern w:val="24"/>
          <w:sz w:val="32"/>
          <w:szCs w:val="32"/>
          <w:lang w:val="es-ES"/>
        </w:rPr>
      </w:pPr>
      <w:r w:rsidRPr="00CA06A9">
        <w:rPr>
          <w:rFonts w:asciiTheme="minorHAnsi" w:hAnsiTheme="minorHAnsi" w:cstheme="minorHAnsi"/>
          <w:b/>
          <w:bCs/>
          <w:color w:val="000000" w:themeColor="text1"/>
          <w:kern w:val="24"/>
          <w:sz w:val="32"/>
          <w:szCs w:val="32"/>
          <w:lang w:val="es-ES"/>
        </w:rPr>
        <w:t>Departamento de Economía Agropecuaria y Estadísticas</w:t>
      </w:r>
    </w:p>
    <w:p w14:paraId="66371964" w14:textId="48D4BCB6" w:rsidR="00470073" w:rsidRDefault="00470073" w:rsidP="00470073">
      <w:pPr>
        <w:pStyle w:val="NormalWeb"/>
        <w:spacing w:before="0" w:beforeAutospacing="0" w:after="0" w:afterAutospacing="0"/>
        <w:ind w:left="-270"/>
        <w:rPr>
          <w:rFonts w:asciiTheme="minorHAnsi" w:hAnsiTheme="minorHAnsi" w:cstheme="minorHAnsi"/>
          <w:b/>
          <w:bCs/>
          <w:color w:val="000000" w:themeColor="text1"/>
          <w:kern w:val="24"/>
          <w:sz w:val="32"/>
          <w:szCs w:val="32"/>
          <w:lang w:val="es-ES"/>
        </w:rPr>
      </w:pPr>
    </w:p>
    <w:p w14:paraId="734B5261" w14:textId="566C38A5" w:rsidR="00470073" w:rsidRPr="00CA06A9" w:rsidRDefault="006141DB" w:rsidP="00C465A6">
      <w:pPr>
        <w:pStyle w:val="NormalWeb"/>
        <w:spacing w:before="0" w:beforeAutospacing="0" w:after="0" w:afterAutospacing="0"/>
        <w:rPr>
          <w:rFonts w:asciiTheme="minorHAnsi" w:hAnsiTheme="minorHAnsi" w:cstheme="minorHAnsi"/>
          <w:b/>
          <w:bCs/>
          <w:color w:val="000000" w:themeColor="text1"/>
          <w:kern w:val="24"/>
          <w:sz w:val="32"/>
          <w:szCs w:val="32"/>
          <w:lang w:val="es-ES"/>
        </w:rPr>
      </w:pPr>
      <w:r>
        <w:rPr>
          <w:noProof/>
          <w:lang w:val="es-DO" w:eastAsia="es-DO"/>
        </w:rPr>
        <w:drawing>
          <wp:inline distT="0" distB="0" distL="0" distR="0" wp14:anchorId="146D48D8" wp14:editId="255554C3">
            <wp:extent cx="4911090" cy="3324225"/>
            <wp:effectExtent l="0" t="0" r="3810" b="9525"/>
            <wp:docPr id="12" name="Imagen 12" descr="Mito: Los fertilizantes son perjudiciales. - Barcelo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to: Los fertilizantes son perjudiciales. - Barcelone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1213" cy="3337846"/>
                    </a:xfrm>
                    <a:prstGeom prst="rect">
                      <a:avLst/>
                    </a:prstGeom>
                    <a:noFill/>
                    <a:ln>
                      <a:noFill/>
                    </a:ln>
                  </pic:spPr>
                </pic:pic>
              </a:graphicData>
            </a:graphic>
          </wp:inline>
        </w:drawing>
      </w:r>
    </w:p>
    <w:p w14:paraId="0DFBBB93" w14:textId="77777777" w:rsidR="00C465A6" w:rsidRPr="00CA06A9" w:rsidRDefault="00C465A6" w:rsidP="00C465A6">
      <w:pPr>
        <w:pStyle w:val="NormalWeb"/>
        <w:spacing w:before="0" w:beforeAutospacing="0" w:after="0" w:afterAutospacing="0"/>
        <w:rPr>
          <w:rFonts w:asciiTheme="minorHAnsi" w:hAnsiTheme="minorHAnsi" w:cstheme="minorHAnsi"/>
          <w:b/>
          <w:bCs/>
          <w:color w:val="002060"/>
          <w:kern w:val="24"/>
          <w:sz w:val="40"/>
          <w:szCs w:val="40"/>
          <w:lang w:val="es-ES"/>
        </w:rPr>
      </w:pPr>
    </w:p>
    <w:p w14:paraId="5FFA4902" w14:textId="1FCFCA37" w:rsidR="00C465A6" w:rsidRDefault="00C465A6" w:rsidP="00C465A6">
      <w:pPr>
        <w:ind w:firstLine="708"/>
        <w:rPr>
          <w:sz w:val="24"/>
          <w:szCs w:val="24"/>
        </w:rPr>
      </w:pPr>
    </w:p>
    <w:p w14:paraId="018D5675" w14:textId="263A7C01" w:rsidR="00C465A6" w:rsidRDefault="00C465A6" w:rsidP="00B50154">
      <w:pPr>
        <w:rPr>
          <w:sz w:val="24"/>
          <w:szCs w:val="24"/>
        </w:rPr>
      </w:pPr>
    </w:p>
    <w:p w14:paraId="2CB4005E" w14:textId="107ED880" w:rsidR="00C465A6" w:rsidRDefault="00C465A6" w:rsidP="00C465A6">
      <w:pPr>
        <w:ind w:firstLine="708"/>
        <w:rPr>
          <w:sz w:val="24"/>
          <w:szCs w:val="24"/>
        </w:rPr>
      </w:pPr>
    </w:p>
    <w:sdt>
      <w:sdtPr>
        <w:rPr>
          <w:rFonts w:asciiTheme="minorHAnsi" w:eastAsiaTheme="minorHAnsi" w:hAnsiTheme="minorHAnsi" w:cstheme="minorBidi"/>
          <w:color w:val="auto"/>
          <w:sz w:val="22"/>
          <w:szCs w:val="22"/>
          <w:lang w:val="es-ES" w:eastAsia="en-US"/>
        </w:rPr>
        <w:id w:val="-512689922"/>
        <w:docPartObj>
          <w:docPartGallery w:val="Table of Contents"/>
          <w:docPartUnique/>
        </w:docPartObj>
      </w:sdtPr>
      <w:sdtEndPr>
        <w:rPr>
          <w:b/>
          <w:bCs/>
        </w:rPr>
      </w:sdtEndPr>
      <w:sdtContent>
        <w:p w14:paraId="19EC53CA" w14:textId="17F36D67" w:rsidR="002D24BC" w:rsidRPr="007A5012" w:rsidRDefault="002D24BC" w:rsidP="002D24BC">
          <w:pPr>
            <w:pStyle w:val="TtuloTDC"/>
            <w:jc w:val="center"/>
            <w:rPr>
              <w:rFonts w:asciiTheme="minorHAnsi" w:hAnsiTheme="minorHAnsi" w:cstheme="minorHAnsi"/>
              <w:b/>
              <w:bCs/>
              <w:color w:val="002060"/>
              <w:sz w:val="24"/>
              <w:szCs w:val="24"/>
            </w:rPr>
          </w:pPr>
          <w:r w:rsidRPr="007A5012">
            <w:rPr>
              <w:rFonts w:asciiTheme="minorHAnsi" w:hAnsiTheme="minorHAnsi" w:cstheme="minorHAnsi"/>
              <w:b/>
              <w:bCs/>
              <w:color w:val="002060"/>
              <w:sz w:val="24"/>
              <w:szCs w:val="24"/>
              <w:lang w:val="es-ES"/>
            </w:rPr>
            <w:t>Tabla de contenido</w:t>
          </w:r>
        </w:p>
        <w:p w14:paraId="44EF8094" w14:textId="4A7B2FFD" w:rsidR="009C0B51" w:rsidRPr="007A5012" w:rsidRDefault="002D24BC">
          <w:pPr>
            <w:pStyle w:val="TDC1"/>
            <w:tabs>
              <w:tab w:val="right" w:leader="dot" w:pos="8494"/>
            </w:tabs>
            <w:rPr>
              <w:rFonts w:cstheme="minorHAnsi"/>
              <w:noProof/>
            </w:rPr>
          </w:pPr>
          <w:r w:rsidRPr="007A5012">
            <w:rPr>
              <w:rFonts w:cstheme="minorHAnsi"/>
            </w:rPr>
            <w:fldChar w:fldCharType="begin"/>
          </w:r>
          <w:r w:rsidRPr="007A5012">
            <w:rPr>
              <w:rFonts w:cstheme="minorHAnsi"/>
            </w:rPr>
            <w:instrText xml:space="preserve"> TOC \o "1-3" \h \z \u </w:instrText>
          </w:r>
          <w:r w:rsidRPr="007A5012">
            <w:rPr>
              <w:rFonts w:cstheme="minorHAnsi"/>
            </w:rPr>
            <w:fldChar w:fldCharType="separate"/>
          </w:r>
          <w:hyperlink w:anchor="_Toc98329016" w:history="1">
            <w:r w:rsidR="009C0B51" w:rsidRPr="007A5012">
              <w:rPr>
                <w:rStyle w:val="Hipervnculo"/>
                <w:rFonts w:cstheme="minorHAnsi"/>
                <w:noProof/>
              </w:rPr>
              <w:t>Presentación</w:t>
            </w:r>
            <w:r w:rsidR="009C0B51" w:rsidRPr="007A5012">
              <w:rPr>
                <w:rFonts w:cstheme="minorHAnsi"/>
                <w:noProof/>
                <w:webHidden/>
              </w:rPr>
              <w:tab/>
            </w:r>
            <w:r w:rsidR="009C0B51" w:rsidRPr="007A5012">
              <w:rPr>
                <w:rFonts w:cstheme="minorHAnsi"/>
                <w:noProof/>
                <w:webHidden/>
              </w:rPr>
              <w:fldChar w:fldCharType="begin"/>
            </w:r>
            <w:r w:rsidR="009C0B51" w:rsidRPr="007A5012">
              <w:rPr>
                <w:rFonts w:cstheme="minorHAnsi"/>
                <w:noProof/>
                <w:webHidden/>
              </w:rPr>
              <w:instrText xml:space="preserve"> PAGEREF _Toc98329016 \h </w:instrText>
            </w:r>
            <w:r w:rsidR="009C0B51" w:rsidRPr="007A5012">
              <w:rPr>
                <w:rFonts w:cstheme="minorHAnsi"/>
                <w:noProof/>
                <w:webHidden/>
              </w:rPr>
            </w:r>
            <w:r w:rsidR="009C0B51" w:rsidRPr="007A5012">
              <w:rPr>
                <w:rFonts w:cstheme="minorHAnsi"/>
                <w:noProof/>
                <w:webHidden/>
              </w:rPr>
              <w:fldChar w:fldCharType="separate"/>
            </w:r>
            <w:r w:rsidR="00273B48" w:rsidRPr="007A5012">
              <w:rPr>
                <w:rFonts w:cstheme="minorHAnsi"/>
                <w:noProof/>
                <w:webHidden/>
              </w:rPr>
              <w:t>3</w:t>
            </w:r>
            <w:r w:rsidR="009C0B51" w:rsidRPr="007A5012">
              <w:rPr>
                <w:rFonts w:cstheme="minorHAnsi"/>
                <w:noProof/>
                <w:webHidden/>
              </w:rPr>
              <w:fldChar w:fldCharType="end"/>
            </w:r>
          </w:hyperlink>
        </w:p>
        <w:p w14:paraId="33248CED" w14:textId="183AC586" w:rsidR="009C0B51" w:rsidRPr="007A5012" w:rsidRDefault="00572B03">
          <w:pPr>
            <w:pStyle w:val="TDC1"/>
            <w:tabs>
              <w:tab w:val="right" w:leader="dot" w:pos="8494"/>
            </w:tabs>
            <w:rPr>
              <w:rFonts w:cstheme="minorHAnsi"/>
              <w:noProof/>
            </w:rPr>
          </w:pPr>
          <w:hyperlink w:anchor="_Toc98329017" w:history="1">
            <w:r w:rsidR="009C0B51" w:rsidRPr="007A5012">
              <w:rPr>
                <w:rStyle w:val="Hipervnculo"/>
                <w:rFonts w:cstheme="minorHAnsi"/>
                <w:noProof/>
              </w:rPr>
              <w:t>Introducción</w:t>
            </w:r>
            <w:r w:rsidR="009C0B51" w:rsidRPr="007A5012">
              <w:rPr>
                <w:rFonts w:cstheme="minorHAnsi"/>
                <w:noProof/>
                <w:webHidden/>
              </w:rPr>
              <w:tab/>
            </w:r>
            <w:r w:rsidR="00B77C88" w:rsidRPr="007A5012">
              <w:rPr>
                <w:rFonts w:cstheme="minorHAnsi"/>
                <w:noProof/>
                <w:webHidden/>
              </w:rPr>
              <w:t>3</w:t>
            </w:r>
          </w:hyperlink>
        </w:p>
        <w:p w14:paraId="1C3F2DCD" w14:textId="577F3F2B" w:rsidR="009C0B51" w:rsidRPr="007A5012" w:rsidRDefault="00572B03">
          <w:pPr>
            <w:pStyle w:val="TDC1"/>
            <w:tabs>
              <w:tab w:val="right" w:leader="dot" w:pos="8494"/>
            </w:tabs>
            <w:rPr>
              <w:rFonts w:cstheme="minorHAnsi"/>
              <w:noProof/>
            </w:rPr>
          </w:pPr>
          <w:hyperlink w:anchor="_Toc98329018" w:history="1">
            <w:r w:rsidR="009C0B51" w:rsidRPr="007A5012">
              <w:rPr>
                <w:rStyle w:val="Hipervnculo"/>
                <w:rFonts w:cstheme="minorHAnsi"/>
                <w:noProof/>
              </w:rPr>
              <w:t>Características del Mercado de Fertilizantes en República Dominicana</w:t>
            </w:r>
            <w:r w:rsidR="009C0B51" w:rsidRPr="007A5012">
              <w:rPr>
                <w:rFonts w:cstheme="minorHAnsi"/>
                <w:noProof/>
                <w:webHidden/>
              </w:rPr>
              <w:tab/>
            </w:r>
            <w:r w:rsidR="00B77C88" w:rsidRPr="007A5012">
              <w:rPr>
                <w:rFonts w:cstheme="minorHAnsi"/>
                <w:noProof/>
                <w:webHidden/>
              </w:rPr>
              <w:t>4</w:t>
            </w:r>
          </w:hyperlink>
        </w:p>
        <w:p w14:paraId="3ECCD2CF" w14:textId="32721E41" w:rsidR="009C0B51" w:rsidRPr="007A5012" w:rsidRDefault="00572B03">
          <w:pPr>
            <w:pStyle w:val="TDC1"/>
            <w:tabs>
              <w:tab w:val="right" w:leader="dot" w:pos="8494"/>
            </w:tabs>
            <w:rPr>
              <w:rFonts w:cstheme="minorHAnsi"/>
              <w:noProof/>
            </w:rPr>
          </w:pPr>
          <w:hyperlink w:anchor="_Toc98329019" w:history="1">
            <w:r w:rsidR="009C0B51" w:rsidRPr="007A5012">
              <w:rPr>
                <w:rStyle w:val="Hipervnculo"/>
                <w:rFonts w:cstheme="minorHAnsi"/>
                <w:noProof/>
              </w:rPr>
              <w:t>Comportamiento de los Precios Mensuales de Fertilizantes</w:t>
            </w:r>
            <w:r w:rsidR="009C0B51" w:rsidRPr="007A5012">
              <w:rPr>
                <w:rFonts w:cstheme="minorHAnsi"/>
                <w:noProof/>
                <w:webHidden/>
              </w:rPr>
              <w:tab/>
            </w:r>
            <w:r w:rsidR="009C0B51" w:rsidRPr="007A5012">
              <w:rPr>
                <w:rFonts w:cstheme="minorHAnsi"/>
                <w:noProof/>
                <w:webHidden/>
              </w:rPr>
              <w:fldChar w:fldCharType="begin"/>
            </w:r>
            <w:r w:rsidR="009C0B51" w:rsidRPr="007A5012">
              <w:rPr>
                <w:rFonts w:cstheme="minorHAnsi"/>
                <w:noProof/>
                <w:webHidden/>
              </w:rPr>
              <w:instrText xml:space="preserve"> PAGEREF _Toc98329019 \h </w:instrText>
            </w:r>
            <w:r w:rsidR="009C0B51" w:rsidRPr="007A5012">
              <w:rPr>
                <w:rFonts w:cstheme="minorHAnsi"/>
                <w:noProof/>
                <w:webHidden/>
              </w:rPr>
            </w:r>
            <w:r w:rsidR="009C0B51" w:rsidRPr="007A5012">
              <w:rPr>
                <w:rFonts w:cstheme="minorHAnsi"/>
                <w:noProof/>
                <w:webHidden/>
              </w:rPr>
              <w:fldChar w:fldCharType="separate"/>
            </w:r>
            <w:r w:rsidR="00273B48" w:rsidRPr="007A5012">
              <w:rPr>
                <w:rFonts w:cstheme="minorHAnsi"/>
                <w:noProof/>
                <w:webHidden/>
              </w:rPr>
              <w:t>5</w:t>
            </w:r>
            <w:r w:rsidR="009C0B51" w:rsidRPr="007A5012">
              <w:rPr>
                <w:rFonts w:cstheme="minorHAnsi"/>
                <w:noProof/>
                <w:webHidden/>
              </w:rPr>
              <w:fldChar w:fldCharType="end"/>
            </w:r>
          </w:hyperlink>
        </w:p>
        <w:p w14:paraId="52C03806" w14:textId="30794677" w:rsidR="009C0B51" w:rsidRPr="007A5012" w:rsidRDefault="009C0B51">
          <w:pPr>
            <w:pStyle w:val="TDC1"/>
            <w:tabs>
              <w:tab w:val="right" w:leader="dot" w:pos="8494"/>
            </w:tabs>
            <w:rPr>
              <w:rFonts w:cstheme="minorHAnsi"/>
              <w:noProof/>
            </w:rPr>
          </w:pPr>
          <w:r w:rsidRPr="007A5012">
            <w:rPr>
              <w:rFonts w:cstheme="minorHAnsi"/>
              <w:noProof/>
            </w:rPr>
            <w:t>Precios Internacionales de Fertilizantes……………………………………………………………………………………</w:t>
          </w:r>
          <w:r w:rsidR="00B77C88" w:rsidRPr="007A5012">
            <w:rPr>
              <w:rFonts w:cstheme="minorHAnsi"/>
              <w:noProof/>
            </w:rPr>
            <w:t>6</w:t>
          </w:r>
        </w:p>
        <w:p w14:paraId="33321C71" w14:textId="07D07B99" w:rsidR="009C0B51" w:rsidRPr="007A5012" w:rsidRDefault="00572B03">
          <w:pPr>
            <w:pStyle w:val="TDC1"/>
            <w:tabs>
              <w:tab w:val="right" w:leader="dot" w:pos="8494"/>
            </w:tabs>
            <w:rPr>
              <w:rFonts w:cstheme="minorHAnsi"/>
              <w:noProof/>
            </w:rPr>
          </w:pPr>
          <w:hyperlink w:anchor="_Toc98329021" w:history="1">
            <w:r w:rsidR="009C0B51" w:rsidRPr="007A5012">
              <w:rPr>
                <w:rStyle w:val="Hipervnculo"/>
                <w:rFonts w:cstheme="minorHAnsi"/>
                <w:noProof/>
              </w:rPr>
              <w:t>Precios Nacionales de Fertilizantes</w:t>
            </w:r>
            <w:r w:rsidR="009C0B51" w:rsidRPr="007A5012">
              <w:rPr>
                <w:rFonts w:cstheme="minorHAnsi"/>
                <w:noProof/>
                <w:webHidden/>
              </w:rPr>
              <w:tab/>
            </w:r>
            <w:r w:rsidR="009C0B51" w:rsidRPr="007A5012">
              <w:rPr>
                <w:rFonts w:cstheme="minorHAnsi"/>
                <w:noProof/>
                <w:webHidden/>
              </w:rPr>
              <w:fldChar w:fldCharType="begin"/>
            </w:r>
            <w:r w:rsidR="009C0B51" w:rsidRPr="007A5012">
              <w:rPr>
                <w:rFonts w:cstheme="minorHAnsi"/>
                <w:noProof/>
                <w:webHidden/>
              </w:rPr>
              <w:instrText xml:space="preserve"> PAGEREF _Toc98329021 \h </w:instrText>
            </w:r>
            <w:r w:rsidR="009C0B51" w:rsidRPr="007A5012">
              <w:rPr>
                <w:rFonts w:cstheme="minorHAnsi"/>
                <w:noProof/>
                <w:webHidden/>
              </w:rPr>
            </w:r>
            <w:r w:rsidR="009C0B51" w:rsidRPr="007A5012">
              <w:rPr>
                <w:rFonts w:cstheme="minorHAnsi"/>
                <w:noProof/>
                <w:webHidden/>
              </w:rPr>
              <w:fldChar w:fldCharType="separate"/>
            </w:r>
            <w:r w:rsidR="00273B48" w:rsidRPr="007A5012">
              <w:rPr>
                <w:rFonts w:cstheme="minorHAnsi"/>
                <w:noProof/>
                <w:webHidden/>
              </w:rPr>
              <w:t>7</w:t>
            </w:r>
            <w:r w:rsidR="009C0B51" w:rsidRPr="007A5012">
              <w:rPr>
                <w:rFonts w:cstheme="minorHAnsi"/>
                <w:noProof/>
                <w:webHidden/>
              </w:rPr>
              <w:fldChar w:fldCharType="end"/>
            </w:r>
          </w:hyperlink>
        </w:p>
        <w:p w14:paraId="484BF716" w14:textId="2ACE5216" w:rsidR="00F96D14" w:rsidRPr="00F96D14" w:rsidRDefault="002D24BC" w:rsidP="00F96D14">
          <w:r w:rsidRPr="007A5012">
            <w:rPr>
              <w:rFonts w:cstheme="minorHAnsi"/>
              <w:b/>
              <w:bCs/>
              <w:lang w:val="es-ES"/>
            </w:rPr>
            <w:fldChar w:fldCharType="end"/>
          </w:r>
        </w:p>
      </w:sdtContent>
    </w:sdt>
    <w:p w14:paraId="7F9EFAF3" w14:textId="77777777" w:rsidR="00F96D14" w:rsidRDefault="00F96D14" w:rsidP="00C02A3F">
      <w:pPr>
        <w:pStyle w:val="Adelle"/>
        <w:rPr>
          <w:color w:val="002060"/>
          <w:szCs w:val="24"/>
        </w:rPr>
      </w:pPr>
    </w:p>
    <w:p w14:paraId="147BBDCC" w14:textId="77777777" w:rsidR="00F96D14" w:rsidRDefault="00F96D14" w:rsidP="00C02A3F">
      <w:pPr>
        <w:pStyle w:val="Adelle"/>
        <w:rPr>
          <w:color w:val="002060"/>
          <w:szCs w:val="24"/>
        </w:rPr>
      </w:pPr>
    </w:p>
    <w:p w14:paraId="06572627" w14:textId="77777777" w:rsidR="00F96D14" w:rsidRDefault="00F96D14" w:rsidP="00C02A3F">
      <w:pPr>
        <w:pStyle w:val="Adelle"/>
        <w:rPr>
          <w:color w:val="002060"/>
          <w:szCs w:val="24"/>
        </w:rPr>
      </w:pPr>
    </w:p>
    <w:p w14:paraId="554DF9D3" w14:textId="77777777" w:rsidR="00F96D14" w:rsidRDefault="00F96D14" w:rsidP="00C02A3F">
      <w:pPr>
        <w:pStyle w:val="Adelle"/>
        <w:rPr>
          <w:color w:val="002060"/>
          <w:szCs w:val="24"/>
        </w:rPr>
      </w:pPr>
    </w:p>
    <w:p w14:paraId="63C571C9" w14:textId="77777777" w:rsidR="00F96D14" w:rsidRDefault="00F96D14" w:rsidP="00C02A3F">
      <w:pPr>
        <w:pStyle w:val="Adelle"/>
        <w:rPr>
          <w:color w:val="002060"/>
          <w:szCs w:val="24"/>
        </w:rPr>
      </w:pPr>
    </w:p>
    <w:p w14:paraId="4227B55A" w14:textId="77777777" w:rsidR="00F96D14" w:rsidRDefault="00F96D14" w:rsidP="00C02A3F">
      <w:pPr>
        <w:pStyle w:val="Adelle"/>
        <w:rPr>
          <w:color w:val="002060"/>
          <w:szCs w:val="24"/>
        </w:rPr>
      </w:pPr>
    </w:p>
    <w:p w14:paraId="08C475DD" w14:textId="77777777" w:rsidR="00F96D14" w:rsidRDefault="00F96D14" w:rsidP="00C02A3F">
      <w:pPr>
        <w:pStyle w:val="Adelle"/>
        <w:rPr>
          <w:color w:val="002060"/>
          <w:szCs w:val="24"/>
        </w:rPr>
      </w:pPr>
    </w:p>
    <w:p w14:paraId="69B80D7B" w14:textId="77777777" w:rsidR="00F96D14" w:rsidRDefault="00F96D14" w:rsidP="00C02A3F">
      <w:pPr>
        <w:pStyle w:val="Adelle"/>
        <w:rPr>
          <w:color w:val="002060"/>
          <w:szCs w:val="24"/>
        </w:rPr>
      </w:pPr>
    </w:p>
    <w:p w14:paraId="68446AE6" w14:textId="77777777" w:rsidR="00F96D14" w:rsidRDefault="00F96D14" w:rsidP="00C02A3F">
      <w:pPr>
        <w:pStyle w:val="Adelle"/>
        <w:rPr>
          <w:color w:val="002060"/>
          <w:szCs w:val="24"/>
        </w:rPr>
      </w:pPr>
    </w:p>
    <w:p w14:paraId="4E28EE7F" w14:textId="77777777" w:rsidR="00F96D14" w:rsidRDefault="00F96D14" w:rsidP="00C02A3F">
      <w:pPr>
        <w:pStyle w:val="Adelle"/>
        <w:rPr>
          <w:color w:val="002060"/>
          <w:szCs w:val="24"/>
        </w:rPr>
      </w:pPr>
    </w:p>
    <w:p w14:paraId="2A60C7C2" w14:textId="77777777" w:rsidR="00F96D14" w:rsidRDefault="00F96D14" w:rsidP="00C02A3F">
      <w:pPr>
        <w:pStyle w:val="Adelle"/>
        <w:rPr>
          <w:color w:val="002060"/>
          <w:szCs w:val="24"/>
        </w:rPr>
      </w:pPr>
    </w:p>
    <w:p w14:paraId="6C9BA052" w14:textId="77777777" w:rsidR="00F96D14" w:rsidRDefault="00F96D14" w:rsidP="00C02A3F">
      <w:pPr>
        <w:pStyle w:val="Adelle"/>
        <w:rPr>
          <w:color w:val="002060"/>
          <w:szCs w:val="24"/>
        </w:rPr>
      </w:pPr>
    </w:p>
    <w:p w14:paraId="1CE7A3E4" w14:textId="77777777" w:rsidR="00F96D14" w:rsidRDefault="00F96D14" w:rsidP="00C02A3F">
      <w:pPr>
        <w:pStyle w:val="Adelle"/>
        <w:rPr>
          <w:color w:val="002060"/>
          <w:szCs w:val="24"/>
        </w:rPr>
      </w:pPr>
    </w:p>
    <w:p w14:paraId="6A69EA3E" w14:textId="77777777" w:rsidR="00F96D14" w:rsidRDefault="00F96D14" w:rsidP="00C02A3F">
      <w:pPr>
        <w:pStyle w:val="Adelle"/>
        <w:rPr>
          <w:color w:val="002060"/>
          <w:szCs w:val="24"/>
        </w:rPr>
      </w:pPr>
    </w:p>
    <w:p w14:paraId="55AD45B1" w14:textId="08BF9712" w:rsidR="00F96D14" w:rsidRDefault="00F96D14" w:rsidP="00C02A3F">
      <w:pPr>
        <w:pStyle w:val="Adelle"/>
        <w:rPr>
          <w:color w:val="002060"/>
          <w:szCs w:val="24"/>
        </w:rPr>
      </w:pPr>
    </w:p>
    <w:p w14:paraId="39134248" w14:textId="77777777" w:rsidR="00F96D14" w:rsidRPr="00F96D14" w:rsidRDefault="00F96D14" w:rsidP="00F96D14">
      <w:pPr>
        <w:pStyle w:val="Subttulo"/>
      </w:pPr>
    </w:p>
    <w:p w14:paraId="4D3B516C" w14:textId="4CF524DA" w:rsidR="00F96D14" w:rsidRDefault="00F96D14" w:rsidP="00F96D14">
      <w:pPr>
        <w:pStyle w:val="Adelle"/>
        <w:rPr>
          <w:color w:val="002060"/>
          <w:szCs w:val="24"/>
        </w:rPr>
      </w:pPr>
    </w:p>
    <w:p w14:paraId="739390CA" w14:textId="78561606" w:rsidR="00F96D14" w:rsidRDefault="00F96D14" w:rsidP="00F96D14">
      <w:pPr>
        <w:pStyle w:val="Subttulo"/>
      </w:pPr>
    </w:p>
    <w:p w14:paraId="1997ED27" w14:textId="2A8B03A5" w:rsidR="00F96D14" w:rsidRDefault="00F96D14" w:rsidP="00F96D14"/>
    <w:p w14:paraId="3217914E" w14:textId="77777777" w:rsidR="00F96D14" w:rsidRPr="00F96D14" w:rsidRDefault="00F96D14" w:rsidP="00F96D14"/>
    <w:p w14:paraId="55E2977F" w14:textId="737D0513" w:rsidR="000A56A7" w:rsidRDefault="00C17008" w:rsidP="00C17008">
      <w:pPr>
        <w:pStyle w:val="Adelle"/>
        <w:jc w:val="both"/>
        <w:rPr>
          <w:rFonts w:ascii="Times New Roman" w:hAnsi="Times New Roman" w:cs="Times New Roman"/>
          <w:color w:val="002060"/>
          <w:sz w:val="20"/>
          <w:szCs w:val="20"/>
        </w:rPr>
      </w:pPr>
      <w:r>
        <w:rPr>
          <w:rFonts w:ascii="Times New Roman" w:hAnsi="Times New Roman" w:cs="Times New Roman"/>
          <w:color w:val="002060"/>
          <w:sz w:val="20"/>
          <w:szCs w:val="20"/>
        </w:rPr>
        <w:lastRenderedPageBreak/>
        <w:t>Presentación</w:t>
      </w:r>
    </w:p>
    <w:p w14:paraId="15F72216" w14:textId="3F3C2B6A" w:rsidR="00C17008" w:rsidRPr="00C17008" w:rsidRDefault="00C17008" w:rsidP="00C17008">
      <w:pPr>
        <w:sectPr w:rsidR="00C17008" w:rsidRPr="00C17008">
          <w:footerReference w:type="default" r:id="rId10"/>
          <w:pgSz w:w="11906" w:h="16838"/>
          <w:pgMar w:top="1417" w:right="1701" w:bottom="1417" w:left="1701" w:header="708" w:footer="708" w:gutter="0"/>
          <w:cols w:space="708"/>
          <w:docGrid w:linePitch="360"/>
        </w:sectPr>
      </w:pPr>
    </w:p>
    <w:p w14:paraId="1880152B" w14:textId="77777777" w:rsidR="000A56A7" w:rsidRDefault="000A56A7" w:rsidP="00E95229">
      <w:pPr>
        <w:jc w:val="both"/>
        <w:rPr>
          <w:rFonts w:ascii="Times New Roman" w:hAnsi="Times New Roman" w:cs="Times New Roman"/>
          <w:sz w:val="20"/>
          <w:szCs w:val="20"/>
        </w:rPr>
      </w:pPr>
    </w:p>
    <w:p w14:paraId="53A60BB7" w14:textId="75E620AA" w:rsidR="00DC6B82" w:rsidRPr="000A56A7" w:rsidRDefault="00DC6B82" w:rsidP="00E95229">
      <w:pPr>
        <w:jc w:val="both"/>
        <w:rPr>
          <w:rFonts w:ascii="Times New Roman" w:hAnsi="Times New Roman" w:cs="Times New Roman"/>
          <w:sz w:val="20"/>
          <w:szCs w:val="20"/>
        </w:rPr>
      </w:pPr>
      <w:r w:rsidRPr="000A56A7">
        <w:rPr>
          <w:rFonts w:ascii="Times New Roman" w:hAnsi="Times New Roman" w:cs="Times New Roman"/>
          <w:sz w:val="20"/>
          <w:szCs w:val="20"/>
        </w:rPr>
        <w:t>Este informe presenta una actualización semestral sobre las principales tendencias del mercado nacional e internacional de fertilizantes, considerando las variaciones en precios, disponibilidad y programas de apoyo al sector agrícola en la República Dominicana.</w:t>
      </w:r>
    </w:p>
    <w:p w14:paraId="10486139" w14:textId="77777777" w:rsidR="00DC6B82" w:rsidRPr="000A56A7" w:rsidRDefault="005C3B43" w:rsidP="00E95229">
      <w:pPr>
        <w:jc w:val="both"/>
        <w:rPr>
          <w:rFonts w:ascii="Times New Roman" w:hAnsi="Times New Roman" w:cs="Times New Roman"/>
          <w:sz w:val="20"/>
          <w:szCs w:val="20"/>
        </w:rPr>
      </w:pPr>
      <w:r w:rsidRPr="000A56A7">
        <w:rPr>
          <w:rFonts w:ascii="Times New Roman" w:eastAsia="Times New Roman" w:hAnsi="Times New Roman" w:cs="Times New Roman"/>
          <w:sz w:val="20"/>
          <w:szCs w:val="20"/>
          <w:lang w:val="es-ES"/>
        </w:rPr>
        <w:t>​</w:t>
      </w:r>
      <w:r w:rsidR="00DC6B82" w:rsidRPr="000A56A7">
        <w:rPr>
          <w:rFonts w:ascii="Times New Roman" w:hAnsi="Times New Roman" w:cs="Times New Roman"/>
          <w:sz w:val="20"/>
          <w:szCs w:val="20"/>
        </w:rPr>
        <w:t xml:space="preserve">Durante el primer semestre de 2024 y el mismo período de 2025, los precios internacionales de los fertilizantes continuaron mostrando una dinámica marcada por la volatilidad, aunque con una tendencia moderada hacia la estabilización en comparación con los picos históricos observados entre 2022 y 2023. Esta evolución respondió principalmente a la paulatina normalización del comercio global de insumos agrícolas, pese a que persistieron tensiones derivadas del conflicto bélico entre Rusia y Ucrania y de los costos asociados al transporte marítimo y energético. </w:t>
      </w:r>
    </w:p>
    <w:p w14:paraId="607EA73D" w14:textId="77777777" w:rsidR="00DC6B82" w:rsidRPr="000A56A7" w:rsidRDefault="00DC6B82"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En el mercado nacional, el comportamiento de los precios reflejó parcialmente las fluctuaciones internacionales. Durante el primer semestre de 2024, los costos de productos como la urea y el sulfato de amonio permanecieron relativamente altos, mientras que para el mismo período de 2025 se observó una ligera reducción en los precios promedio, atribuida a una mejor oferta internacional y a la estabilización del tipo de cambio. </w:t>
      </w:r>
    </w:p>
    <w:p w14:paraId="21AF38B6" w14:textId="77777777" w:rsidR="000A56A7" w:rsidRDefault="00DC6B82" w:rsidP="000A56A7">
      <w:pPr>
        <w:jc w:val="both"/>
        <w:rPr>
          <w:rFonts w:ascii="Times New Roman" w:hAnsi="Times New Roman" w:cs="Times New Roman"/>
          <w:sz w:val="20"/>
          <w:szCs w:val="20"/>
        </w:rPr>
      </w:pPr>
      <w:r w:rsidRPr="000A56A7">
        <w:rPr>
          <w:rFonts w:ascii="Times New Roman" w:hAnsi="Times New Roman" w:cs="Times New Roman"/>
          <w:sz w:val="20"/>
          <w:szCs w:val="20"/>
        </w:rPr>
        <w:t xml:space="preserve">El Gobierno dominicano, a través del Ministerio de Agricultura, mantuvo su política de apoyo al sector mediante programas de incentivos y subsidios focalizados, orientados a garantizar la disponibilidad de fertilizantes y mitigar los efectos del alza de precios sobre los costos de producción. Estas medidas permitieron preservar la estabilidad en la producción agrícola nacional, especialmente en los rubros de mayor incidencia alimentaria. </w:t>
      </w:r>
      <w:r w:rsidR="000A56A7">
        <w:rPr>
          <w:rFonts w:ascii="Times New Roman" w:hAnsi="Times New Roman" w:cs="Times New Roman"/>
          <w:sz w:val="20"/>
          <w:szCs w:val="20"/>
        </w:rPr>
        <w:t xml:space="preserve"> </w:t>
      </w:r>
    </w:p>
    <w:p w14:paraId="11CE7DB0" w14:textId="77777777" w:rsidR="000A56A7" w:rsidRDefault="00DC6B82" w:rsidP="000A56A7">
      <w:pPr>
        <w:jc w:val="both"/>
        <w:rPr>
          <w:rFonts w:ascii="Times New Roman" w:hAnsi="Times New Roman" w:cs="Times New Roman"/>
          <w:sz w:val="20"/>
          <w:szCs w:val="20"/>
        </w:rPr>
      </w:pPr>
      <w:r w:rsidRPr="000A56A7">
        <w:rPr>
          <w:rFonts w:ascii="Times New Roman" w:hAnsi="Times New Roman" w:cs="Times New Roman"/>
          <w:sz w:val="20"/>
          <w:szCs w:val="20"/>
        </w:rPr>
        <w:t>A nivel de demanda, el uso de fertilizantes se mantuvo estable en ambos semestres analizados, evidenciando un comportamiento racional por parte de los productores, quienes han ajustado sus planes de siembra conforme a la evolución de los precios y la disponibilidad de insumos.</w:t>
      </w:r>
      <w:r w:rsidR="000A56A7">
        <w:rPr>
          <w:rFonts w:ascii="Times New Roman" w:hAnsi="Times New Roman" w:cs="Times New Roman"/>
          <w:sz w:val="20"/>
          <w:szCs w:val="20"/>
        </w:rPr>
        <w:t xml:space="preserve"> </w:t>
      </w:r>
    </w:p>
    <w:p w14:paraId="51DD7321" w14:textId="30FD1D9F" w:rsidR="00DC6B82" w:rsidRPr="000A56A7" w:rsidRDefault="00DC6B82" w:rsidP="000A56A7">
      <w:pPr>
        <w:jc w:val="both"/>
        <w:rPr>
          <w:rFonts w:ascii="Times New Roman" w:hAnsi="Times New Roman" w:cs="Times New Roman"/>
          <w:sz w:val="20"/>
          <w:szCs w:val="20"/>
        </w:rPr>
      </w:pPr>
      <w:r w:rsidRPr="000A56A7">
        <w:rPr>
          <w:rFonts w:ascii="Times New Roman" w:hAnsi="Times New Roman" w:cs="Times New Roman"/>
          <w:sz w:val="20"/>
          <w:szCs w:val="20"/>
        </w:rPr>
        <w:t xml:space="preserve">En términos generales, el período enero-junio 2025 muestra señales de recuperación del mercado de fertilizantes, con precios más competitivos y un entorno comercial más favorable. No obstante, persisten desafíos </w:t>
      </w:r>
      <w:r w:rsidRPr="000A56A7">
        <w:rPr>
          <w:rFonts w:ascii="Times New Roman" w:hAnsi="Times New Roman" w:cs="Times New Roman"/>
          <w:sz w:val="20"/>
          <w:szCs w:val="20"/>
        </w:rPr>
        <w:t>vinculados a la sostenibilidad del suministro, la dependencia de importaciones y la necesidad de continuar fortaleciendo los mecanismos de apoyo técnico y financiero al productor agrícola nacional.</w:t>
      </w:r>
    </w:p>
    <w:p w14:paraId="49E65093" w14:textId="161229E2" w:rsidR="00B9681C" w:rsidRPr="000A56A7" w:rsidRDefault="00C02A3F" w:rsidP="00E95229">
      <w:pPr>
        <w:pStyle w:val="Adelle"/>
        <w:spacing w:before="0"/>
        <w:jc w:val="both"/>
        <w:rPr>
          <w:rFonts w:ascii="Times New Roman" w:eastAsiaTheme="minorHAnsi" w:hAnsi="Times New Roman" w:cs="Times New Roman"/>
          <w:b w:val="0"/>
          <w:bCs w:val="0"/>
          <w:sz w:val="20"/>
          <w:szCs w:val="20"/>
        </w:rPr>
      </w:pPr>
      <w:r w:rsidRPr="000A56A7">
        <w:rPr>
          <w:rFonts w:ascii="Times New Roman" w:hAnsi="Times New Roman" w:cs="Times New Roman"/>
          <w:color w:val="002060"/>
          <w:sz w:val="20"/>
          <w:szCs w:val="20"/>
        </w:rPr>
        <w:t>Introducción</w:t>
      </w:r>
    </w:p>
    <w:p w14:paraId="5AA752F1" w14:textId="77777777" w:rsidR="00DF3179" w:rsidRPr="000A56A7" w:rsidRDefault="00DF3179" w:rsidP="00E95229">
      <w:pPr>
        <w:pStyle w:val="Subttulo"/>
        <w:spacing w:after="0"/>
        <w:jc w:val="both"/>
        <w:rPr>
          <w:rFonts w:ascii="Times New Roman" w:hAnsi="Times New Roman" w:cs="Times New Roman"/>
          <w:sz w:val="20"/>
          <w:szCs w:val="20"/>
        </w:rPr>
      </w:pPr>
    </w:p>
    <w:p w14:paraId="31EB6665" w14:textId="4C74295F" w:rsidR="00C17008"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La participación de los fertilizantes en la producción agropecuaria es fundamental, ya que inciden directamente en el rendimiento de los cultivos y, por tanto, en la</w:t>
      </w:r>
      <w:r w:rsidR="00C17008">
        <w:rPr>
          <w:rFonts w:ascii="Times New Roman" w:hAnsi="Times New Roman" w:cs="Times New Roman"/>
          <w:sz w:val="20"/>
          <w:szCs w:val="20"/>
        </w:rPr>
        <w:t xml:space="preserve"> seguridad alimentaria mundial.</w:t>
      </w:r>
    </w:p>
    <w:p w14:paraId="4A90453A" w14:textId="23529358" w:rsidR="00E95229" w:rsidRPr="000A56A7"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El incremento sostenido de la población global continúa impulsando una mayor demanda de alimentos, lo que exige a su vez una expansión de la producción agrícola. Este aumento solo es posible mediante una utilización más eficiente de los fertilizantes, especialmente aquellos de origen mineral. </w:t>
      </w:r>
    </w:p>
    <w:p w14:paraId="0C4B4098" w14:textId="77777777" w:rsidR="00C17008" w:rsidRPr="00C17008"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Durante el período </w:t>
      </w:r>
      <w:r w:rsidRPr="00C17008">
        <w:rPr>
          <w:rFonts w:ascii="Times New Roman" w:hAnsi="Times New Roman" w:cs="Times New Roman"/>
          <w:bCs/>
          <w:sz w:val="20"/>
          <w:szCs w:val="20"/>
        </w:rPr>
        <w:t>enero–junio de 2025</w:t>
      </w:r>
      <w:r w:rsidRPr="00C17008">
        <w:rPr>
          <w:rFonts w:ascii="Times New Roman" w:hAnsi="Times New Roman" w:cs="Times New Roman"/>
          <w:sz w:val="20"/>
          <w:szCs w:val="20"/>
        </w:rPr>
        <w:t xml:space="preserve">, los precios de los fertilizantes mostraron variaciones moderadas respecto al mismo semestre de </w:t>
      </w:r>
      <w:r w:rsidRPr="00C17008">
        <w:rPr>
          <w:rFonts w:ascii="Times New Roman" w:hAnsi="Times New Roman" w:cs="Times New Roman"/>
          <w:bCs/>
          <w:sz w:val="20"/>
          <w:szCs w:val="20"/>
        </w:rPr>
        <w:t>2024</w:t>
      </w:r>
      <w:r w:rsidRPr="00C17008">
        <w:rPr>
          <w:rFonts w:ascii="Times New Roman" w:hAnsi="Times New Roman" w:cs="Times New Roman"/>
          <w:sz w:val="20"/>
          <w:szCs w:val="20"/>
        </w:rPr>
        <w:t>, influenciadas por factores como los costos del gas natural, las tensiones geopolíticas y las políticas de oferta de los p</w:t>
      </w:r>
      <w:r w:rsidR="00C17008" w:rsidRPr="00C17008">
        <w:rPr>
          <w:rFonts w:ascii="Times New Roman" w:hAnsi="Times New Roman" w:cs="Times New Roman"/>
          <w:sz w:val="20"/>
          <w:szCs w:val="20"/>
        </w:rPr>
        <w:t>rincipales países exportadores.</w:t>
      </w:r>
    </w:p>
    <w:p w14:paraId="31512F4C" w14:textId="67358C10" w:rsidR="00E95229" w:rsidRPr="00C17008"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En el mercado dominicano, los precios nacionales reflejaron </w:t>
      </w:r>
      <w:r w:rsidRPr="00C17008">
        <w:rPr>
          <w:rFonts w:ascii="Times New Roman" w:hAnsi="Times New Roman" w:cs="Times New Roman"/>
          <w:sz w:val="20"/>
          <w:szCs w:val="20"/>
        </w:rPr>
        <w:t xml:space="preserve">una </w:t>
      </w:r>
      <w:r w:rsidRPr="00C17008">
        <w:rPr>
          <w:rFonts w:ascii="Times New Roman" w:hAnsi="Times New Roman" w:cs="Times New Roman"/>
          <w:bCs/>
          <w:sz w:val="20"/>
          <w:szCs w:val="20"/>
        </w:rPr>
        <w:t>tendencia estable con leves reducciones</w:t>
      </w:r>
      <w:r w:rsidRPr="00C17008">
        <w:rPr>
          <w:rFonts w:ascii="Times New Roman" w:hAnsi="Times New Roman" w:cs="Times New Roman"/>
          <w:sz w:val="20"/>
          <w:szCs w:val="20"/>
        </w:rPr>
        <w:t xml:space="preserve"> en comparación con 2024, destacando productos como la </w:t>
      </w:r>
      <w:r w:rsidRPr="00C17008">
        <w:rPr>
          <w:rFonts w:ascii="Times New Roman" w:hAnsi="Times New Roman" w:cs="Times New Roman"/>
          <w:bCs/>
          <w:sz w:val="20"/>
          <w:szCs w:val="20"/>
        </w:rPr>
        <w:t>urea, el sulfato de amonio y el superfosfato triple</w:t>
      </w:r>
      <w:r w:rsidRPr="00C17008">
        <w:rPr>
          <w:rFonts w:ascii="Times New Roman" w:hAnsi="Times New Roman" w:cs="Times New Roman"/>
          <w:sz w:val="20"/>
          <w:szCs w:val="20"/>
        </w:rPr>
        <w:t xml:space="preserve">, cuya baja respondió a la desaceleración de los precios internacionales y a la continuidad de los </w:t>
      </w:r>
      <w:r w:rsidRPr="00C17008">
        <w:rPr>
          <w:rFonts w:ascii="Times New Roman" w:hAnsi="Times New Roman" w:cs="Times New Roman"/>
          <w:bCs/>
          <w:sz w:val="20"/>
          <w:szCs w:val="20"/>
        </w:rPr>
        <w:t>subsidios gubernamentales</w:t>
      </w:r>
      <w:r w:rsidRPr="00C17008">
        <w:rPr>
          <w:rFonts w:ascii="Times New Roman" w:hAnsi="Times New Roman" w:cs="Times New Roman"/>
          <w:sz w:val="20"/>
          <w:szCs w:val="20"/>
        </w:rPr>
        <w:t xml:space="preserve"> implementados por el Ministerio de Agricultura. </w:t>
      </w:r>
    </w:p>
    <w:p w14:paraId="594A4033" w14:textId="77777777" w:rsidR="00E95229" w:rsidRPr="00C17008" w:rsidRDefault="00E95229" w:rsidP="00E95229">
      <w:pPr>
        <w:jc w:val="both"/>
        <w:rPr>
          <w:rFonts w:ascii="Times New Roman" w:hAnsi="Times New Roman" w:cs="Times New Roman"/>
          <w:sz w:val="20"/>
          <w:szCs w:val="20"/>
        </w:rPr>
      </w:pPr>
      <w:r w:rsidRPr="00C17008">
        <w:rPr>
          <w:rFonts w:ascii="Times New Roman" w:hAnsi="Times New Roman" w:cs="Times New Roman"/>
          <w:sz w:val="20"/>
          <w:szCs w:val="20"/>
        </w:rPr>
        <w:t xml:space="preserve">Entre los fertilizantes más utilizados en la República Dominicana se encuentran la </w:t>
      </w:r>
      <w:r w:rsidRPr="00C17008">
        <w:rPr>
          <w:rFonts w:ascii="Times New Roman" w:hAnsi="Times New Roman" w:cs="Times New Roman"/>
          <w:bCs/>
          <w:sz w:val="20"/>
          <w:szCs w:val="20"/>
        </w:rPr>
        <w:t>urea, el sulfato de potasio, el sulfato de amonio granulado, el superfosfato triple (0-46-0)</w:t>
      </w:r>
      <w:r w:rsidRPr="00C17008">
        <w:rPr>
          <w:rFonts w:ascii="Times New Roman" w:hAnsi="Times New Roman" w:cs="Times New Roman"/>
          <w:sz w:val="20"/>
          <w:szCs w:val="20"/>
        </w:rPr>
        <w:t xml:space="preserve"> y las enmiendas agrícolas como la </w:t>
      </w:r>
      <w:r w:rsidRPr="00C17008">
        <w:rPr>
          <w:rFonts w:ascii="Times New Roman" w:hAnsi="Times New Roman" w:cs="Times New Roman"/>
          <w:bCs/>
          <w:sz w:val="20"/>
          <w:szCs w:val="20"/>
        </w:rPr>
        <w:t>cal agrícola</w:t>
      </w:r>
      <w:r w:rsidRPr="00C17008">
        <w:rPr>
          <w:rFonts w:ascii="Times New Roman" w:hAnsi="Times New Roman" w:cs="Times New Roman"/>
          <w:sz w:val="20"/>
          <w:szCs w:val="20"/>
        </w:rPr>
        <w:t xml:space="preserve">. Estos aportan nutrientes esenciales como nitrógeno, fósforo y potasio, aplicados de forma individual o combinada según las necesidades de los cultivos y la disponibilidad de nutrientes en el suelo. </w:t>
      </w:r>
    </w:p>
    <w:p w14:paraId="2CE8E222" w14:textId="189E4BAF" w:rsidR="00E95229" w:rsidRPr="000A56A7"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En general, aunque los precios </w:t>
      </w:r>
      <w:r w:rsidRPr="00C17008">
        <w:rPr>
          <w:rFonts w:ascii="Times New Roman" w:hAnsi="Times New Roman" w:cs="Times New Roman"/>
          <w:sz w:val="20"/>
          <w:szCs w:val="20"/>
        </w:rPr>
        <w:t xml:space="preserve">internacionales mostraron cierta volatilidad, la </w:t>
      </w:r>
      <w:r w:rsidRPr="00C17008">
        <w:rPr>
          <w:rFonts w:ascii="Times New Roman" w:hAnsi="Times New Roman" w:cs="Times New Roman"/>
          <w:bCs/>
          <w:sz w:val="20"/>
          <w:szCs w:val="20"/>
        </w:rPr>
        <w:t>demanda nacional se mantuvo firme</w:t>
      </w:r>
      <w:r w:rsidRPr="00C17008">
        <w:rPr>
          <w:rFonts w:ascii="Times New Roman" w:hAnsi="Times New Roman" w:cs="Times New Roman"/>
          <w:sz w:val="20"/>
          <w:szCs w:val="20"/>
        </w:rPr>
        <w:t>, debido a la necesidad de sostener la producción agrícola y garantizar el abastecimiento de alimentos</w:t>
      </w:r>
      <w:r w:rsidRPr="000A56A7">
        <w:rPr>
          <w:rFonts w:ascii="Times New Roman" w:hAnsi="Times New Roman" w:cs="Times New Roman"/>
          <w:sz w:val="20"/>
          <w:szCs w:val="20"/>
        </w:rPr>
        <w:t xml:space="preserve">. </w:t>
      </w:r>
    </w:p>
    <w:p w14:paraId="3F87EAA8" w14:textId="3CAB6122" w:rsidR="009479F8" w:rsidRPr="000A56A7" w:rsidRDefault="007473F0" w:rsidP="00E95229">
      <w:pPr>
        <w:pStyle w:val="Adelle"/>
        <w:jc w:val="both"/>
        <w:rPr>
          <w:rFonts w:ascii="Times New Roman" w:hAnsi="Times New Roman" w:cs="Times New Roman"/>
          <w:color w:val="002060"/>
          <w:sz w:val="20"/>
          <w:szCs w:val="20"/>
        </w:rPr>
      </w:pPr>
      <w:bookmarkStart w:id="1" w:name="_Toc98329018"/>
      <w:r w:rsidRPr="000A56A7">
        <w:rPr>
          <w:rFonts w:ascii="Times New Roman" w:hAnsi="Times New Roman" w:cs="Times New Roman"/>
          <w:color w:val="002060"/>
          <w:sz w:val="20"/>
          <w:szCs w:val="20"/>
        </w:rPr>
        <w:lastRenderedPageBreak/>
        <w:t>Características</w:t>
      </w:r>
      <w:r w:rsidR="00E509A3" w:rsidRPr="000A56A7">
        <w:rPr>
          <w:rFonts w:ascii="Times New Roman" w:hAnsi="Times New Roman" w:cs="Times New Roman"/>
          <w:color w:val="002060"/>
          <w:sz w:val="20"/>
          <w:szCs w:val="20"/>
        </w:rPr>
        <w:t xml:space="preserve"> </w:t>
      </w:r>
      <w:r w:rsidRPr="000A56A7">
        <w:rPr>
          <w:rFonts w:ascii="Times New Roman" w:hAnsi="Times New Roman" w:cs="Times New Roman"/>
          <w:color w:val="002060"/>
          <w:sz w:val="20"/>
          <w:szCs w:val="20"/>
        </w:rPr>
        <w:t>del Mercado</w:t>
      </w:r>
      <w:r w:rsidR="00E509A3" w:rsidRPr="000A56A7">
        <w:rPr>
          <w:rFonts w:ascii="Times New Roman" w:hAnsi="Times New Roman" w:cs="Times New Roman"/>
          <w:color w:val="002060"/>
          <w:sz w:val="20"/>
          <w:szCs w:val="20"/>
        </w:rPr>
        <w:t xml:space="preserve"> de Fertilizantes</w:t>
      </w:r>
      <w:r w:rsidR="00ED7FAD" w:rsidRPr="000A56A7">
        <w:rPr>
          <w:rFonts w:ascii="Times New Roman" w:hAnsi="Times New Roman" w:cs="Times New Roman"/>
          <w:color w:val="002060"/>
          <w:sz w:val="20"/>
          <w:szCs w:val="20"/>
        </w:rPr>
        <w:t xml:space="preserve"> e insumos</w:t>
      </w:r>
      <w:r w:rsidRPr="000A56A7">
        <w:rPr>
          <w:rFonts w:ascii="Times New Roman" w:hAnsi="Times New Roman" w:cs="Times New Roman"/>
          <w:color w:val="002060"/>
          <w:sz w:val="20"/>
          <w:szCs w:val="20"/>
        </w:rPr>
        <w:t xml:space="preserve"> en República </w:t>
      </w:r>
      <w:bookmarkEnd w:id="1"/>
      <w:r w:rsidR="00C02A3F" w:rsidRPr="000A56A7">
        <w:rPr>
          <w:rFonts w:ascii="Times New Roman" w:hAnsi="Times New Roman" w:cs="Times New Roman"/>
          <w:color w:val="002060"/>
          <w:sz w:val="20"/>
          <w:szCs w:val="20"/>
        </w:rPr>
        <w:t>Dominicana</w:t>
      </w:r>
    </w:p>
    <w:p w14:paraId="617720EB" w14:textId="77777777" w:rsidR="00750A99" w:rsidRPr="000A56A7" w:rsidRDefault="00750A99" w:rsidP="00E95229">
      <w:pPr>
        <w:pStyle w:val="Subttulo"/>
        <w:spacing w:after="0"/>
        <w:jc w:val="both"/>
        <w:rPr>
          <w:rFonts w:ascii="Times New Roman" w:hAnsi="Times New Roman" w:cs="Times New Roman"/>
          <w:sz w:val="20"/>
          <w:szCs w:val="20"/>
        </w:rPr>
      </w:pPr>
    </w:p>
    <w:p w14:paraId="3A2CE87E" w14:textId="77777777" w:rsidR="00E95229" w:rsidRPr="00C17008"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El mercado de fertilizantes en la República Dominicana continúa caracterizándose por su </w:t>
      </w:r>
      <w:r w:rsidRPr="00C17008">
        <w:rPr>
          <w:rFonts w:ascii="Times New Roman" w:hAnsi="Times New Roman" w:cs="Times New Roman"/>
          <w:bCs/>
          <w:sz w:val="20"/>
          <w:szCs w:val="20"/>
        </w:rPr>
        <w:t>diversificación de productos</w:t>
      </w:r>
      <w:r w:rsidRPr="00C17008">
        <w:rPr>
          <w:rFonts w:ascii="Times New Roman" w:hAnsi="Times New Roman" w:cs="Times New Roman"/>
          <w:sz w:val="20"/>
          <w:szCs w:val="20"/>
        </w:rPr>
        <w:t xml:space="preserve">, </w:t>
      </w:r>
      <w:r w:rsidRPr="00C17008">
        <w:rPr>
          <w:rFonts w:ascii="Times New Roman" w:hAnsi="Times New Roman" w:cs="Times New Roman"/>
          <w:bCs/>
          <w:sz w:val="20"/>
          <w:szCs w:val="20"/>
        </w:rPr>
        <w:t>amplia red de distribución</w:t>
      </w:r>
      <w:r w:rsidRPr="00C17008">
        <w:rPr>
          <w:rFonts w:ascii="Times New Roman" w:hAnsi="Times New Roman" w:cs="Times New Roman"/>
          <w:sz w:val="20"/>
          <w:szCs w:val="20"/>
        </w:rPr>
        <w:t xml:space="preserve"> y el </w:t>
      </w:r>
      <w:r w:rsidRPr="00C17008">
        <w:rPr>
          <w:rFonts w:ascii="Times New Roman" w:hAnsi="Times New Roman" w:cs="Times New Roman"/>
          <w:bCs/>
          <w:sz w:val="20"/>
          <w:szCs w:val="20"/>
        </w:rPr>
        <w:t>papel regulador del Estado</w:t>
      </w:r>
      <w:r w:rsidRPr="00C17008">
        <w:rPr>
          <w:rFonts w:ascii="Times New Roman" w:hAnsi="Times New Roman" w:cs="Times New Roman"/>
          <w:sz w:val="20"/>
          <w:szCs w:val="20"/>
        </w:rPr>
        <w:t xml:space="preserve"> para garantizar la estabilidad de precios y la disponibilidad de insumos esenciales para la producción agropecuaria. </w:t>
      </w:r>
    </w:p>
    <w:p w14:paraId="0B72C478" w14:textId="60FD60C3" w:rsidR="00E95229" w:rsidRPr="00C17008" w:rsidRDefault="00E95229" w:rsidP="00E95229">
      <w:pPr>
        <w:tabs>
          <w:tab w:val="left" w:pos="284"/>
        </w:tabs>
        <w:jc w:val="both"/>
        <w:rPr>
          <w:rFonts w:ascii="Times New Roman" w:hAnsi="Times New Roman" w:cs="Times New Roman"/>
          <w:sz w:val="20"/>
          <w:szCs w:val="20"/>
        </w:rPr>
      </w:pPr>
      <w:r w:rsidRPr="00C17008">
        <w:rPr>
          <w:rFonts w:ascii="Times New Roman" w:hAnsi="Times New Roman" w:cs="Times New Roman"/>
          <w:sz w:val="20"/>
          <w:szCs w:val="20"/>
        </w:rPr>
        <w:t xml:space="preserve">Durante el período </w:t>
      </w:r>
      <w:r w:rsidRPr="00C17008">
        <w:rPr>
          <w:rFonts w:ascii="Times New Roman" w:hAnsi="Times New Roman" w:cs="Times New Roman"/>
          <w:bCs/>
          <w:sz w:val="20"/>
          <w:szCs w:val="20"/>
        </w:rPr>
        <w:t>enero–junio de 2025</w:t>
      </w:r>
      <w:r w:rsidRPr="00C17008">
        <w:rPr>
          <w:rFonts w:ascii="Times New Roman" w:hAnsi="Times New Roman" w:cs="Times New Roman"/>
          <w:sz w:val="20"/>
          <w:szCs w:val="20"/>
        </w:rPr>
        <w:t xml:space="preserve">, se mantuvo un </w:t>
      </w:r>
      <w:r w:rsidRPr="00C17008">
        <w:rPr>
          <w:rFonts w:ascii="Times New Roman" w:hAnsi="Times New Roman" w:cs="Times New Roman"/>
          <w:bCs/>
          <w:sz w:val="20"/>
          <w:szCs w:val="20"/>
        </w:rPr>
        <w:t>acceso estable a los principales fertilizantes</w:t>
      </w:r>
      <w:r w:rsidRPr="00C17008">
        <w:rPr>
          <w:rFonts w:ascii="Times New Roman" w:hAnsi="Times New Roman" w:cs="Times New Roman"/>
          <w:sz w:val="20"/>
          <w:szCs w:val="20"/>
        </w:rPr>
        <w:t xml:space="preserve"> utilizados en el país, tanto de origen nacional como importado. Este comportamiento se debe a la combinación de </w:t>
      </w:r>
      <w:r w:rsidRPr="00C17008">
        <w:rPr>
          <w:rFonts w:ascii="Times New Roman" w:hAnsi="Times New Roman" w:cs="Times New Roman"/>
          <w:bCs/>
          <w:sz w:val="20"/>
          <w:szCs w:val="20"/>
        </w:rPr>
        <w:t>acciones gubernamentales</w:t>
      </w:r>
      <w:r w:rsidRPr="00C17008">
        <w:rPr>
          <w:rFonts w:ascii="Times New Roman" w:hAnsi="Times New Roman" w:cs="Times New Roman"/>
          <w:sz w:val="20"/>
          <w:szCs w:val="20"/>
        </w:rPr>
        <w:t xml:space="preserve">, tales como los programas de </w:t>
      </w:r>
      <w:r w:rsidRPr="00C17008">
        <w:rPr>
          <w:rFonts w:ascii="Times New Roman" w:hAnsi="Times New Roman" w:cs="Times New Roman"/>
          <w:bCs/>
          <w:sz w:val="20"/>
          <w:szCs w:val="20"/>
        </w:rPr>
        <w:t>subsidio y financiamiento a tasa preferencial</w:t>
      </w:r>
      <w:r w:rsidRPr="00C17008">
        <w:rPr>
          <w:rFonts w:ascii="Times New Roman" w:hAnsi="Times New Roman" w:cs="Times New Roman"/>
          <w:sz w:val="20"/>
          <w:szCs w:val="20"/>
        </w:rPr>
        <w:t xml:space="preserve"> a través del </w:t>
      </w:r>
      <w:r w:rsidRPr="00C17008">
        <w:rPr>
          <w:rFonts w:ascii="Times New Roman" w:hAnsi="Times New Roman" w:cs="Times New Roman"/>
          <w:bCs/>
          <w:sz w:val="20"/>
          <w:szCs w:val="20"/>
        </w:rPr>
        <w:t>Banco Agrícola</w:t>
      </w:r>
      <w:r w:rsidRPr="00C17008">
        <w:rPr>
          <w:rFonts w:ascii="Times New Roman" w:hAnsi="Times New Roman" w:cs="Times New Roman"/>
          <w:sz w:val="20"/>
          <w:szCs w:val="20"/>
        </w:rPr>
        <w:t xml:space="preserve">, y a la </w:t>
      </w:r>
      <w:r w:rsidRPr="00C17008">
        <w:rPr>
          <w:rFonts w:ascii="Times New Roman" w:hAnsi="Times New Roman" w:cs="Times New Roman"/>
          <w:bCs/>
          <w:sz w:val="20"/>
          <w:szCs w:val="20"/>
        </w:rPr>
        <w:t>recuperación parcial del mercado internacional</w:t>
      </w:r>
      <w:r w:rsidRPr="00C17008">
        <w:rPr>
          <w:rFonts w:ascii="Times New Roman" w:hAnsi="Times New Roman" w:cs="Times New Roman"/>
          <w:sz w:val="20"/>
          <w:szCs w:val="20"/>
        </w:rPr>
        <w:t xml:space="preserve"> tras la normalización de las cadenas logísticas y energéticas.  </w:t>
      </w:r>
    </w:p>
    <w:p w14:paraId="0F676953" w14:textId="191E01B4" w:rsidR="00E95229" w:rsidRPr="000A56A7" w:rsidRDefault="00E95229" w:rsidP="00E95229">
      <w:pPr>
        <w:tabs>
          <w:tab w:val="left" w:pos="284"/>
        </w:tabs>
        <w:jc w:val="both"/>
        <w:rPr>
          <w:rFonts w:ascii="Times New Roman" w:hAnsi="Times New Roman" w:cs="Times New Roman"/>
          <w:sz w:val="20"/>
          <w:szCs w:val="20"/>
        </w:rPr>
      </w:pPr>
      <w:r w:rsidRPr="00C17008">
        <w:rPr>
          <w:rFonts w:ascii="Times New Roman" w:hAnsi="Times New Roman" w:cs="Times New Roman"/>
          <w:sz w:val="20"/>
          <w:szCs w:val="20"/>
        </w:rPr>
        <w:t xml:space="preserve">Asimismo, el </w:t>
      </w:r>
      <w:r w:rsidRPr="00C17008">
        <w:rPr>
          <w:rFonts w:ascii="Times New Roman" w:hAnsi="Times New Roman" w:cs="Times New Roman"/>
          <w:bCs/>
          <w:sz w:val="20"/>
          <w:szCs w:val="20"/>
        </w:rPr>
        <w:t>Ministerio de Agricultura</w:t>
      </w:r>
      <w:r w:rsidRPr="00C17008">
        <w:rPr>
          <w:rFonts w:ascii="Times New Roman" w:hAnsi="Times New Roman" w:cs="Times New Roman"/>
          <w:sz w:val="20"/>
          <w:szCs w:val="20"/>
        </w:rPr>
        <w:t xml:space="preserve">, mediante el </w:t>
      </w:r>
      <w:r w:rsidRPr="00C17008">
        <w:rPr>
          <w:rFonts w:ascii="Times New Roman" w:hAnsi="Times New Roman" w:cs="Times New Roman"/>
          <w:bCs/>
          <w:sz w:val="20"/>
          <w:szCs w:val="20"/>
        </w:rPr>
        <w:t>Departamento de Economía Agropecuaria y Estadísticas</w:t>
      </w:r>
      <w:r w:rsidRPr="00C17008">
        <w:rPr>
          <w:rFonts w:ascii="Times New Roman" w:hAnsi="Times New Roman" w:cs="Times New Roman"/>
          <w:sz w:val="20"/>
          <w:szCs w:val="20"/>
        </w:rPr>
        <w:t xml:space="preserve">, continuó impulsando políticas que fortalecen la </w:t>
      </w:r>
      <w:r w:rsidRPr="00C17008">
        <w:rPr>
          <w:rFonts w:ascii="Times New Roman" w:hAnsi="Times New Roman" w:cs="Times New Roman"/>
          <w:bCs/>
          <w:sz w:val="20"/>
          <w:szCs w:val="20"/>
        </w:rPr>
        <w:t>estructura productiva sectorial y territorialmente integrada</w:t>
      </w:r>
      <w:r w:rsidRPr="000A56A7">
        <w:rPr>
          <w:rFonts w:ascii="Times New Roman" w:hAnsi="Times New Roman" w:cs="Times New Roman"/>
          <w:sz w:val="20"/>
          <w:szCs w:val="20"/>
        </w:rPr>
        <w:t>, favoreciendo el acceso a fertilizantes a precios razonables y mejorando la competitividad del sector agrícola.</w:t>
      </w:r>
    </w:p>
    <w:p w14:paraId="1CB29682" w14:textId="77777777" w:rsidR="00E95229" w:rsidRPr="00C17008"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 xml:space="preserve">Entre las principales </w:t>
      </w:r>
      <w:r w:rsidRPr="00C17008">
        <w:rPr>
          <w:rFonts w:ascii="Times New Roman" w:hAnsi="Times New Roman" w:cs="Times New Roman"/>
          <w:bCs/>
          <w:sz w:val="20"/>
          <w:szCs w:val="20"/>
        </w:rPr>
        <w:t>iniciativas implementadas</w:t>
      </w:r>
      <w:r w:rsidRPr="00C17008">
        <w:rPr>
          <w:rFonts w:ascii="Times New Roman" w:hAnsi="Times New Roman" w:cs="Times New Roman"/>
          <w:sz w:val="20"/>
          <w:szCs w:val="20"/>
        </w:rPr>
        <w:t xml:space="preserve"> se destacan:</w:t>
      </w:r>
    </w:p>
    <w:p w14:paraId="0A44C548" w14:textId="77777777" w:rsidR="00E95229" w:rsidRPr="00C17008" w:rsidRDefault="00E95229" w:rsidP="00E95229">
      <w:pPr>
        <w:numPr>
          <w:ilvl w:val="0"/>
          <w:numId w:val="8"/>
        </w:numPr>
        <w:jc w:val="both"/>
        <w:rPr>
          <w:rFonts w:ascii="Times New Roman" w:hAnsi="Times New Roman" w:cs="Times New Roman"/>
          <w:sz w:val="20"/>
          <w:szCs w:val="20"/>
        </w:rPr>
      </w:pPr>
      <w:r w:rsidRPr="000A56A7">
        <w:rPr>
          <w:rFonts w:ascii="Times New Roman" w:hAnsi="Times New Roman" w:cs="Times New Roman"/>
          <w:sz w:val="20"/>
          <w:szCs w:val="20"/>
        </w:rPr>
        <w:t xml:space="preserve">La </w:t>
      </w:r>
      <w:r w:rsidRPr="000A56A7">
        <w:rPr>
          <w:rFonts w:ascii="Times New Roman" w:hAnsi="Times New Roman" w:cs="Times New Roman"/>
          <w:b/>
          <w:bCs/>
          <w:sz w:val="20"/>
          <w:szCs w:val="20"/>
        </w:rPr>
        <w:t>continuidad del subsidio a los fertilizantes</w:t>
      </w:r>
      <w:r w:rsidRPr="000A56A7">
        <w:rPr>
          <w:rFonts w:ascii="Times New Roman" w:hAnsi="Times New Roman" w:cs="Times New Roman"/>
          <w:sz w:val="20"/>
          <w:szCs w:val="20"/>
        </w:rPr>
        <w:t xml:space="preserve">, que permitió mantener precios similares a los del año 2024 en productos clave como la </w:t>
      </w:r>
      <w:r w:rsidRPr="00C17008">
        <w:rPr>
          <w:rFonts w:ascii="Times New Roman" w:hAnsi="Times New Roman" w:cs="Times New Roman"/>
          <w:bCs/>
          <w:sz w:val="20"/>
          <w:szCs w:val="20"/>
        </w:rPr>
        <w:t>urea, el sulfato de amonio, el superfosfato triple y el muriato de potasio</w:t>
      </w:r>
      <w:r w:rsidRPr="00C17008">
        <w:rPr>
          <w:rFonts w:ascii="Times New Roman" w:hAnsi="Times New Roman" w:cs="Times New Roman"/>
          <w:sz w:val="20"/>
          <w:szCs w:val="20"/>
        </w:rPr>
        <w:t>.</w:t>
      </w:r>
    </w:p>
    <w:p w14:paraId="0B511CA6" w14:textId="77777777" w:rsidR="00E95229" w:rsidRPr="000A56A7" w:rsidRDefault="00E95229" w:rsidP="00E95229">
      <w:pPr>
        <w:numPr>
          <w:ilvl w:val="0"/>
          <w:numId w:val="8"/>
        </w:numPr>
        <w:jc w:val="both"/>
        <w:rPr>
          <w:rFonts w:ascii="Times New Roman" w:hAnsi="Times New Roman" w:cs="Times New Roman"/>
          <w:sz w:val="20"/>
          <w:szCs w:val="20"/>
        </w:rPr>
      </w:pPr>
      <w:r w:rsidRPr="000A56A7">
        <w:rPr>
          <w:rFonts w:ascii="Times New Roman" w:hAnsi="Times New Roman" w:cs="Times New Roman"/>
          <w:sz w:val="20"/>
          <w:szCs w:val="20"/>
        </w:rPr>
        <w:t xml:space="preserve">La </w:t>
      </w:r>
      <w:r w:rsidRPr="000A56A7">
        <w:rPr>
          <w:rFonts w:ascii="Times New Roman" w:hAnsi="Times New Roman" w:cs="Times New Roman"/>
          <w:b/>
          <w:bCs/>
          <w:sz w:val="20"/>
          <w:szCs w:val="20"/>
        </w:rPr>
        <w:t>disponibilidad sostenida de créditos agrícolas</w:t>
      </w:r>
      <w:r w:rsidRPr="000A56A7">
        <w:rPr>
          <w:rFonts w:ascii="Times New Roman" w:hAnsi="Times New Roman" w:cs="Times New Roman"/>
          <w:sz w:val="20"/>
          <w:szCs w:val="20"/>
        </w:rPr>
        <w:t xml:space="preserve"> a tasa cero o preferencial, dirigidos a pequeños y medianos productores.</w:t>
      </w:r>
    </w:p>
    <w:p w14:paraId="41C4B657" w14:textId="77777777" w:rsidR="00E95229" w:rsidRPr="000A56A7" w:rsidRDefault="00E95229" w:rsidP="00E95229">
      <w:pPr>
        <w:numPr>
          <w:ilvl w:val="0"/>
          <w:numId w:val="8"/>
        </w:numPr>
        <w:jc w:val="both"/>
        <w:rPr>
          <w:rFonts w:ascii="Times New Roman" w:hAnsi="Times New Roman" w:cs="Times New Roman"/>
          <w:sz w:val="20"/>
          <w:szCs w:val="20"/>
        </w:rPr>
      </w:pPr>
      <w:r w:rsidRPr="000A56A7">
        <w:rPr>
          <w:rFonts w:ascii="Times New Roman" w:hAnsi="Times New Roman" w:cs="Times New Roman"/>
          <w:sz w:val="20"/>
          <w:szCs w:val="20"/>
        </w:rPr>
        <w:t xml:space="preserve">La </w:t>
      </w:r>
      <w:r w:rsidRPr="000A56A7">
        <w:rPr>
          <w:rFonts w:ascii="Times New Roman" w:hAnsi="Times New Roman" w:cs="Times New Roman"/>
          <w:b/>
          <w:bCs/>
          <w:sz w:val="20"/>
          <w:szCs w:val="20"/>
        </w:rPr>
        <w:t>mejora de la infraestructura agrícola</w:t>
      </w:r>
      <w:r w:rsidRPr="000A56A7">
        <w:rPr>
          <w:rFonts w:ascii="Times New Roman" w:hAnsi="Times New Roman" w:cs="Times New Roman"/>
          <w:sz w:val="20"/>
          <w:szCs w:val="20"/>
        </w:rPr>
        <w:t>, mediante proyectos de reconversión productiva, incremento de la sanidad agroalimentaria y construcción de sistemas de siembra tecnificada en regiones como San Juan y el Cibao Sur.</w:t>
      </w:r>
    </w:p>
    <w:p w14:paraId="591520F9" w14:textId="3750C093" w:rsidR="00E95229" w:rsidRPr="00C17008" w:rsidRDefault="00E95229" w:rsidP="000A56A7">
      <w:pPr>
        <w:spacing w:before="100" w:beforeAutospacing="1" w:after="100" w:afterAutospacing="1" w:line="240" w:lineRule="auto"/>
        <w:ind w:left="360"/>
        <w:jc w:val="both"/>
        <w:rPr>
          <w:rFonts w:ascii="Times New Roman" w:eastAsia="Times New Roman" w:hAnsi="Times New Roman" w:cs="Times New Roman"/>
          <w:sz w:val="20"/>
          <w:szCs w:val="20"/>
        </w:rPr>
      </w:pPr>
      <w:bookmarkStart w:id="2" w:name="_Toc98329019"/>
      <w:r w:rsidRPr="000A56A7">
        <w:rPr>
          <w:rFonts w:ascii="Times New Roman" w:eastAsia="Times New Roman" w:hAnsi="Times New Roman" w:cs="Times New Roman"/>
          <w:sz w:val="20"/>
          <w:szCs w:val="20"/>
        </w:rPr>
        <w:t xml:space="preserve">De acuerdo con el comparativo de precios nacionales, </w:t>
      </w:r>
      <w:r w:rsidRPr="00C17008">
        <w:rPr>
          <w:rFonts w:ascii="Times New Roman" w:eastAsia="Times New Roman" w:hAnsi="Times New Roman" w:cs="Times New Roman"/>
          <w:sz w:val="20"/>
          <w:szCs w:val="20"/>
        </w:rPr>
        <w:t xml:space="preserve">el </w:t>
      </w:r>
      <w:r w:rsidRPr="00C17008">
        <w:rPr>
          <w:rFonts w:ascii="Times New Roman" w:eastAsia="Times New Roman" w:hAnsi="Times New Roman" w:cs="Times New Roman"/>
          <w:bCs/>
          <w:sz w:val="20"/>
          <w:szCs w:val="20"/>
        </w:rPr>
        <w:t>mercado interno presentó una reducción promedio de entre 4 % y 8 %</w:t>
      </w:r>
      <w:r w:rsidRPr="00C17008">
        <w:rPr>
          <w:rFonts w:ascii="Times New Roman" w:eastAsia="Times New Roman" w:hAnsi="Times New Roman" w:cs="Times New Roman"/>
          <w:sz w:val="20"/>
          <w:szCs w:val="20"/>
        </w:rPr>
        <w:t xml:space="preserve"> en los principales fertilizantes durante el primer </w:t>
      </w:r>
      <w:r w:rsidRPr="00C17008">
        <w:rPr>
          <w:rFonts w:ascii="Times New Roman" w:eastAsia="Times New Roman" w:hAnsi="Times New Roman" w:cs="Times New Roman"/>
          <w:sz w:val="20"/>
          <w:szCs w:val="20"/>
        </w:rPr>
        <w:t>semestre de 2025, re</w:t>
      </w:r>
      <w:r w:rsidR="000A56A7" w:rsidRPr="00C17008">
        <w:rPr>
          <w:rFonts w:ascii="Times New Roman" w:eastAsia="Times New Roman" w:hAnsi="Times New Roman" w:cs="Times New Roman"/>
          <w:sz w:val="20"/>
          <w:szCs w:val="20"/>
        </w:rPr>
        <w:t xml:space="preserve">specto al mismo período de 2024. </w:t>
      </w:r>
      <w:r w:rsidRPr="00C17008">
        <w:rPr>
          <w:rFonts w:ascii="Times New Roman" w:eastAsia="Times New Roman" w:hAnsi="Times New Roman" w:cs="Times New Roman"/>
          <w:sz w:val="20"/>
          <w:szCs w:val="20"/>
        </w:rPr>
        <w:t xml:space="preserve">Esta disminución está asociada a la </w:t>
      </w:r>
      <w:r w:rsidRPr="00C17008">
        <w:rPr>
          <w:rFonts w:ascii="Times New Roman" w:eastAsia="Times New Roman" w:hAnsi="Times New Roman" w:cs="Times New Roman"/>
          <w:bCs/>
          <w:sz w:val="20"/>
          <w:szCs w:val="20"/>
        </w:rPr>
        <w:t>baja gradual en los precios internacionales</w:t>
      </w:r>
      <w:r w:rsidRPr="00C17008">
        <w:rPr>
          <w:rFonts w:ascii="Times New Roman" w:eastAsia="Times New Roman" w:hAnsi="Times New Roman" w:cs="Times New Roman"/>
          <w:sz w:val="20"/>
          <w:szCs w:val="20"/>
        </w:rPr>
        <w:t xml:space="preserve"> de las materias primas (gas natural, amoníaco, potasa, fosfato) y a la </w:t>
      </w:r>
      <w:r w:rsidRPr="00C17008">
        <w:rPr>
          <w:rFonts w:ascii="Times New Roman" w:eastAsia="Times New Roman" w:hAnsi="Times New Roman" w:cs="Times New Roman"/>
          <w:bCs/>
          <w:sz w:val="20"/>
          <w:szCs w:val="20"/>
        </w:rPr>
        <w:t>efectividad de las medidas de estabilización</w:t>
      </w:r>
      <w:r w:rsidRPr="00C17008">
        <w:rPr>
          <w:rFonts w:ascii="Times New Roman" w:eastAsia="Times New Roman" w:hAnsi="Times New Roman" w:cs="Times New Roman"/>
          <w:sz w:val="20"/>
          <w:szCs w:val="20"/>
        </w:rPr>
        <w:t xml:space="preserve"> adoptadas por el gobierno dominicano.</w:t>
      </w:r>
    </w:p>
    <w:p w14:paraId="27AA3A62" w14:textId="4612C4CF" w:rsidR="00E95229" w:rsidRPr="00C17008" w:rsidRDefault="00E95229" w:rsidP="00E95229">
      <w:pPr>
        <w:spacing w:before="100" w:beforeAutospacing="1" w:after="100" w:afterAutospacing="1" w:line="240" w:lineRule="auto"/>
        <w:ind w:left="360"/>
        <w:jc w:val="both"/>
        <w:rPr>
          <w:rFonts w:ascii="Times New Roman" w:eastAsia="Times New Roman" w:hAnsi="Times New Roman" w:cs="Times New Roman"/>
          <w:sz w:val="20"/>
          <w:szCs w:val="20"/>
        </w:rPr>
      </w:pPr>
      <w:r w:rsidRPr="000A56A7">
        <w:rPr>
          <w:rFonts w:ascii="Times New Roman" w:eastAsia="Times New Roman" w:hAnsi="Times New Roman" w:cs="Times New Roman"/>
          <w:sz w:val="20"/>
          <w:szCs w:val="20"/>
        </w:rPr>
        <w:t xml:space="preserve">En síntesis, el mercado de fertilizantes en el país muestra señales </w:t>
      </w:r>
      <w:r w:rsidRPr="00C17008">
        <w:rPr>
          <w:rFonts w:ascii="Times New Roman" w:eastAsia="Times New Roman" w:hAnsi="Times New Roman" w:cs="Times New Roman"/>
          <w:sz w:val="20"/>
          <w:szCs w:val="20"/>
        </w:rPr>
        <w:t xml:space="preserve">de </w:t>
      </w:r>
      <w:r w:rsidRPr="00C17008">
        <w:rPr>
          <w:rFonts w:ascii="Times New Roman" w:eastAsia="Times New Roman" w:hAnsi="Times New Roman" w:cs="Times New Roman"/>
          <w:bCs/>
          <w:sz w:val="20"/>
          <w:szCs w:val="20"/>
        </w:rPr>
        <w:t>estabilidad y consolidación</w:t>
      </w:r>
      <w:r w:rsidRPr="00C17008">
        <w:rPr>
          <w:rFonts w:ascii="Times New Roman" w:eastAsia="Times New Roman" w:hAnsi="Times New Roman" w:cs="Times New Roman"/>
          <w:sz w:val="20"/>
          <w:szCs w:val="20"/>
        </w:rPr>
        <w:t xml:space="preserve">, con una oferta diversificada, precios moderadamente estables y una política pública orientada a asegurar la </w:t>
      </w:r>
      <w:r w:rsidRPr="00C17008">
        <w:rPr>
          <w:rFonts w:ascii="Times New Roman" w:eastAsia="Times New Roman" w:hAnsi="Times New Roman" w:cs="Times New Roman"/>
          <w:bCs/>
          <w:sz w:val="20"/>
          <w:szCs w:val="20"/>
        </w:rPr>
        <w:t>accesibilidad, productividad y sostenibilidad</w:t>
      </w:r>
      <w:r w:rsidRPr="00C17008">
        <w:rPr>
          <w:rFonts w:ascii="Times New Roman" w:eastAsia="Times New Roman" w:hAnsi="Times New Roman" w:cs="Times New Roman"/>
          <w:sz w:val="20"/>
          <w:szCs w:val="20"/>
        </w:rPr>
        <w:t xml:space="preserve"> del sector agropecuario.</w:t>
      </w:r>
    </w:p>
    <w:p w14:paraId="79BB1C9E" w14:textId="0E9EB4FC" w:rsidR="0061517A" w:rsidRPr="000A56A7" w:rsidRDefault="00962092" w:rsidP="002C7568">
      <w:pPr>
        <w:pStyle w:val="Adelle"/>
        <w:spacing w:before="0"/>
        <w:rPr>
          <w:rFonts w:ascii="Times New Roman" w:hAnsi="Times New Roman" w:cs="Times New Roman"/>
          <w:color w:val="002060"/>
          <w:sz w:val="20"/>
          <w:szCs w:val="20"/>
        </w:rPr>
      </w:pPr>
      <w:r w:rsidRPr="000A56A7">
        <w:rPr>
          <w:rFonts w:ascii="Times New Roman" w:hAnsi="Times New Roman" w:cs="Times New Roman"/>
          <w:color w:val="002060"/>
          <w:sz w:val="20"/>
          <w:szCs w:val="20"/>
        </w:rPr>
        <w:t>Comportamiento de los</w:t>
      </w:r>
      <w:r w:rsidR="001C36FD" w:rsidRPr="000A56A7">
        <w:rPr>
          <w:rFonts w:ascii="Times New Roman" w:hAnsi="Times New Roman" w:cs="Times New Roman"/>
          <w:color w:val="002060"/>
          <w:sz w:val="20"/>
          <w:szCs w:val="20"/>
        </w:rPr>
        <w:t xml:space="preserve"> Precios Mensual</w:t>
      </w:r>
      <w:r w:rsidR="00A75321" w:rsidRPr="000A56A7">
        <w:rPr>
          <w:rFonts w:ascii="Times New Roman" w:hAnsi="Times New Roman" w:cs="Times New Roman"/>
          <w:color w:val="002060"/>
          <w:sz w:val="20"/>
          <w:szCs w:val="20"/>
        </w:rPr>
        <w:t>es</w:t>
      </w:r>
      <w:r w:rsidR="001C36FD" w:rsidRPr="000A56A7">
        <w:rPr>
          <w:rFonts w:ascii="Times New Roman" w:hAnsi="Times New Roman" w:cs="Times New Roman"/>
          <w:color w:val="002060"/>
          <w:sz w:val="20"/>
          <w:szCs w:val="20"/>
        </w:rPr>
        <w:t xml:space="preserve"> </w:t>
      </w:r>
      <w:r w:rsidRPr="000A56A7">
        <w:rPr>
          <w:rFonts w:ascii="Times New Roman" w:hAnsi="Times New Roman" w:cs="Times New Roman"/>
          <w:color w:val="002060"/>
          <w:sz w:val="20"/>
          <w:szCs w:val="20"/>
        </w:rPr>
        <w:t>de Fertilizantes</w:t>
      </w:r>
      <w:bookmarkEnd w:id="2"/>
      <w:r w:rsidRPr="000A56A7">
        <w:rPr>
          <w:rFonts w:ascii="Times New Roman" w:hAnsi="Times New Roman" w:cs="Times New Roman"/>
          <w:color w:val="002060"/>
          <w:sz w:val="20"/>
          <w:szCs w:val="20"/>
        </w:rPr>
        <w:t xml:space="preserve"> </w:t>
      </w:r>
    </w:p>
    <w:p w14:paraId="7592A5C3" w14:textId="77777777" w:rsidR="00C77876" w:rsidRPr="000A56A7" w:rsidRDefault="00C77876" w:rsidP="00C77876">
      <w:pPr>
        <w:spacing w:after="0"/>
        <w:rPr>
          <w:rFonts w:ascii="Times New Roman" w:hAnsi="Times New Roman" w:cs="Times New Roman"/>
          <w:b/>
          <w:bCs/>
          <w:sz w:val="20"/>
          <w:szCs w:val="20"/>
        </w:rPr>
      </w:pPr>
    </w:p>
    <w:p w14:paraId="78582AFD" w14:textId="39D64010" w:rsidR="00C77876" w:rsidRPr="000A56A7" w:rsidRDefault="00C77876" w:rsidP="00C77876">
      <w:pPr>
        <w:spacing w:after="120"/>
        <w:rPr>
          <w:rFonts w:ascii="Times New Roman" w:hAnsi="Times New Roman" w:cs="Times New Roman"/>
          <w:b/>
          <w:bCs/>
          <w:sz w:val="20"/>
          <w:szCs w:val="20"/>
        </w:rPr>
      </w:pPr>
      <w:r w:rsidRPr="000A56A7">
        <w:rPr>
          <w:rFonts w:ascii="Times New Roman" w:hAnsi="Times New Roman" w:cs="Times New Roman"/>
          <w:b/>
          <w:bCs/>
          <w:sz w:val="20"/>
          <w:szCs w:val="20"/>
        </w:rPr>
        <w:t xml:space="preserve">Precios Internacionales de los </w:t>
      </w:r>
      <w:r w:rsidR="00CF2402" w:rsidRPr="000A56A7">
        <w:rPr>
          <w:rFonts w:ascii="Times New Roman" w:hAnsi="Times New Roman" w:cs="Times New Roman"/>
          <w:b/>
          <w:bCs/>
          <w:sz w:val="20"/>
          <w:szCs w:val="20"/>
        </w:rPr>
        <w:t>Fertilizantes.</w:t>
      </w:r>
    </w:p>
    <w:p w14:paraId="0FD12ADD" w14:textId="68C4D2E6" w:rsidR="00224002" w:rsidRPr="000A56A7" w:rsidRDefault="00C77876" w:rsidP="00DF6D15">
      <w:pPr>
        <w:spacing w:after="120"/>
        <w:jc w:val="both"/>
        <w:rPr>
          <w:rFonts w:ascii="Times New Roman" w:hAnsi="Times New Roman" w:cs="Times New Roman"/>
          <w:b/>
          <w:bCs/>
          <w:sz w:val="20"/>
          <w:szCs w:val="20"/>
        </w:rPr>
      </w:pPr>
      <w:r w:rsidRPr="000A56A7">
        <w:rPr>
          <w:rFonts w:ascii="Times New Roman" w:hAnsi="Times New Roman" w:cs="Times New Roman"/>
          <w:b/>
          <w:bCs/>
          <w:sz w:val="20"/>
          <w:szCs w:val="20"/>
        </w:rPr>
        <w:t xml:space="preserve">Comportamiento de los </w:t>
      </w:r>
      <w:r w:rsidR="002C7568" w:rsidRPr="000A56A7">
        <w:rPr>
          <w:rFonts w:ascii="Times New Roman" w:hAnsi="Times New Roman" w:cs="Times New Roman"/>
          <w:b/>
          <w:bCs/>
          <w:sz w:val="20"/>
          <w:szCs w:val="20"/>
        </w:rPr>
        <w:t>Precios Internacionales de los Fertilizantes (US$/TM)</w:t>
      </w:r>
      <w:bookmarkStart w:id="3" w:name="_Toc98329020"/>
    </w:p>
    <w:p w14:paraId="6EADF3FA" w14:textId="69D98DA5" w:rsidR="0056600B" w:rsidRPr="000A56A7" w:rsidRDefault="0056600B" w:rsidP="00FF6230">
      <w:pPr>
        <w:spacing w:line="240" w:lineRule="auto"/>
        <w:jc w:val="both"/>
        <w:rPr>
          <w:rFonts w:ascii="Times New Roman" w:hAnsi="Times New Roman" w:cs="Times New Roman"/>
          <w:b/>
          <w:bCs/>
          <w:noProof/>
          <w:sz w:val="20"/>
          <w:szCs w:val="20"/>
          <w:lang w:eastAsia="es-DO"/>
        </w:rPr>
      </w:pPr>
      <w:r w:rsidRPr="000A56A7">
        <w:rPr>
          <w:rFonts w:ascii="Times New Roman" w:hAnsi="Times New Roman" w:cs="Times New Roman"/>
          <w:b/>
          <w:bCs/>
          <w:noProof/>
          <w:sz w:val="20"/>
          <w:szCs w:val="20"/>
          <w:lang w:eastAsia="es-DO"/>
        </w:rPr>
        <w:drawing>
          <wp:inline distT="0" distB="0" distL="0" distR="0" wp14:anchorId="39332021" wp14:editId="69980072">
            <wp:extent cx="2474595" cy="19621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787" cy="2009084"/>
                    </a:xfrm>
                    <a:prstGeom prst="rect">
                      <a:avLst/>
                    </a:prstGeom>
                    <a:noFill/>
                  </pic:spPr>
                </pic:pic>
              </a:graphicData>
            </a:graphic>
          </wp:inline>
        </w:drawing>
      </w:r>
    </w:p>
    <w:p w14:paraId="471D248F" w14:textId="7297CDAB" w:rsidR="00DF6D15" w:rsidRPr="000A56A7" w:rsidRDefault="00ED7FAD" w:rsidP="00FF6230">
      <w:pPr>
        <w:spacing w:line="240" w:lineRule="auto"/>
        <w:jc w:val="both"/>
        <w:rPr>
          <w:rFonts w:ascii="Times New Roman" w:hAnsi="Times New Roman" w:cs="Times New Roman"/>
          <w:sz w:val="20"/>
          <w:szCs w:val="20"/>
        </w:rPr>
      </w:pPr>
      <w:r w:rsidRPr="000A56A7">
        <w:rPr>
          <w:rFonts w:ascii="Times New Roman" w:hAnsi="Times New Roman" w:cs="Times New Roman"/>
          <w:sz w:val="20"/>
          <w:szCs w:val="20"/>
        </w:rPr>
        <w:t>Fuente</w:t>
      </w:r>
      <w:r w:rsidR="0056600B" w:rsidRPr="000A56A7">
        <w:rPr>
          <w:rFonts w:ascii="Times New Roman" w:hAnsi="Times New Roman" w:cs="Times New Roman"/>
          <w:sz w:val="20"/>
          <w:szCs w:val="20"/>
        </w:rPr>
        <w:t>: Banco Mundial, 2025</w:t>
      </w:r>
      <w:r w:rsidR="00DF6D15" w:rsidRPr="000A56A7">
        <w:rPr>
          <w:rFonts w:ascii="Times New Roman" w:hAnsi="Times New Roman" w:cs="Times New Roman"/>
          <w:sz w:val="20"/>
          <w:szCs w:val="20"/>
        </w:rPr>
        <w:t>.</w:t>
      </w:r>
    </w:p>
    <w:p w14:paraId="69450596" w14:textId="21061052" w:rsidR="00FF6230" w:rsidRPr="000A56A7" w:rsidRDefault="00FF6230" w:rsidP="00FF6230">
      <w:pPr>
        <w:spacing w:line="240" w:lineRule="auto"/>
        <w:jc w:val="both"/>
        <w:rPr>
          <w:rFonts w:ascii="Times New Roman" w:hAnsi="Times New Roman" w:cs="Times New Roman"/>
          <w:b/>
          <w:bCs/>
          <w:noProof/>
          <w:sz w:val="20"/>
          <w:szCs w:val="20"/>
          <w:lang w:eastAsia="es-DO"/>
        </w:rPr>
      </w:pPr>
      <w:r w:rsidRPr="000A56A7">
        <w:rPr>
          <w:rFonts w:ascii="Times New Roman" w:hAnsi="Times New Roman" w:cs="Times New Roman"/>
          <w:b/>
          <w:bCs/>
          <w:noProof/>
          <w:sz w:val="20"/>
          <w:szCs w:val="20"/>
          <w:lang w:eastAsia="es-DO"/>
        </w:rPr>
        <w:t>Ver anexo:</w:t>
      </w:r>
    </w:p>
    <w:p w14:paraId="5217D901" w14:textId="6BCBF711" w:rsidR="00FF6230" w:rsidRPr="000A56A7" w:rsidRDefault="0056600B" w:rsidP="00FF6230">
      <w:pPr>
        <w:spacing w:line="240" w:lineRule="auto"/>
        <w:jc w:val="both"/>
        <w:rPr>
          <w:rFonts w:ascii="Times New Roman" w:hAnsi="Times New Roman" w:cs="Times New Roman"/>
          <w:b/>
          <w:bCs/>
          <w:noProof/>
          <w:sz w:val="20"/>
          <w:szCs w:val="20"/>
          <w:lang w:eastAsia="es-DO"/>
        </w:rPr>
      </w:pPr>
      <w:r w:rsidRPr="000A56A7">
        <w:rPr>
          <w:rFonts w:ascii="Times New Roman" w:hAnsi="Times New Roman" w:cs="Times New Roman"/>
          <w:noProof/>
          <w:sz w:val="20"/>
          <w:szCs w:val="20"/>
          <w:lang w:eastAsia="es-DO"/>
        </w:rPr>
        <w:drawing>
          <wp:inline distT="0" distB="0" distL="0" distR="0" wp14:anchorId="6FBB544B" wp14:editId="217C037C">
            <wp:extent cx="2475038" cy="22479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777" cy="2251296"/>
                    </a:xfrm>
                    <a:prstGeom prst="rect">
                      <a:avLst/>
                    </a:prstGeom>
                    <a:noFill/>
                    <a:ln>
                      <a:noFill/>
                    </a:ln>
                  </pic:spPr>
                </pic:pic>
              </a:graphicData>
            </a:graphic>
          </wp:inline>
        </w:drawing>
      </w:r>
    </w:p>
    <w:p w14:paraId="4E1055F1" w14:textId="47D1362B" w:rsidR="00E95229" w:rsidRPr="00C17008" w:rsidRDefault="00E95229" w:rsidP="0073050D">
      <w:pPr>
        <w:jc w:val="both"/>
        <w:rPr>
          <w:rFonts w:ascii="Times New Roman" w:hAnsi="Times New Roman" w:cs="Times New Roman"/>
          <w:sz w:val="20"/>
          <w:szCs w:val="20"/>
        </w:rPr>
      </w:pPr>
      <w:r w:rsidRPr="000A56A7">
        <w:rPr>
          <w:rFonts w:ascii="Times New Roman" w:hAnsi="Times New Roman" w:cs="Times New Roman"/>
          <w:sz w:val="20"/>
          <w:szCs w:val="20"/>
        </w:rPr>
        <w:t xml:space="preserve">Durante el período </w:t>
      </w:r>
      <w:r w:rsidRPr="00C17008">
        <w:rPr>
          <w:rFonts w:ascii="Times New Roman" w:hAnsi="Times New Roman" w:cs="Times New Roman"/>
          <w:bCs/>
          <w:sz w:val="20"/>
          <w:szCs w:val="20"/>
        </w:rPr>
        <w:t>enero–junio de 2025</w:t>
      </w:r>
      <w:r w:rsidRPr="00C17008">
        <w:rPr>
          <w:rFonts w:ascii="Times New Roman" w:hAnsi="Times New Roman" w:cs="Times New Roman"/>
          <w:sz w:val="20"/>
          <w:szCs w:val="20"/>
        </w:rPr>
        <w:t xml:space="preserve">, los precios internacionales de los principales fertilizantes mostraron una </w:t>
      </w:r>
      <w:r w:rsidRPr="00C17008">
        <w:rPr>
          <w:rFonts w:ascii="Times New Roman" w:hAnsi="Times New Roman" w:cs="Times New Roman"/>
          <w:bCs/>
          <w:sz w:val="20"/>
          <w:szCs w:val="20"/>
        </w:rPr>
        <w:t xml:space="preserve">tendencia </w:t>
      </w:r>
      <w:r w:rsidRPr="00C17008">
        <w:rPr>
          <w:rFonts w:ascii="Times New Roman" w:hAnsi="Times New Roman" w:cs="Times New Roman"/>
          <w:bCs/>
          <w:sz w:val="20"/>
          <w:szCs w:val="20"/>
        </w:rPr>
        <w:lastRenderedPageBreak/>
        <w:t>moderadamente estable con ligeras variaciones a la baja</w:t>
      </w:r>
      <w:r w:rsidRPr="00C17008">
        <w:rPr>
          <w:rFonts w:ascii="Times New Roman" w:hAnsi="Times New Roman" w:cs="Times New Roman"/>
          <w:sz w:val="20"/>
          <w:szCs w:val="20"/>
        </w:rPr>
        <w:t xml:space="preserve">, influenciadas por la normalización </w:t>
      </w:r>
      <w:r w:rsidR="00C17008">
        <w:rPr>
          <w:rFonts w:ascii="Times New Roman" w:hAnsi="Times New Roman" w:cs="Times New Roman"/>
          <w:sz w:val="20"/>
          <w:szCs w:val="20"/>
        </w:rPr>
        <w:t xml:space="preserve">de los precios del gas natural, </w:t>
      </w:r>
      <w:r w:rsidRPr="00C17008">
        <w:rPr>
          <w:rFonts w:ascii="Times New Roman" w:hAnsi="Times New Roman" w:cs="Times New Roman"/>
          <w:sz w:val="20"/>
          <w:szCs w:val="20"/>
        </w:rPr>
        <w:t>principal insumo para la producció</w:t>
      </w:r>
      <w:r w:rsidR="00C17008">
        <w:rPr>
          <w:rFonts w:ascii="Times New Roman" w:hAnsi="Times New Roman" w:cs="Times New Roman"/>
          <w:sz w:val="20"/>
          <w:szCs w:val="20"/>
        </w:rPr>
        <w:t>n de fertilizantes nitrogenados</w:t>
      </w:r>
      <w:r w:rsidRPr="00C17008">
        <w:rPr>
          <w:rFonts w:ascii="Times New Roman" w:hAnsi="Times New Roman" w:cs="Times New Roman"/>
          <w:sz w:val="20"/>
          <w:szCs w:val="20"/>
        </w:rPr>
        <w:t xml:space="preserve"> y por una mayor estabilidad en los flujos comerciales globales. </w:t>
      </w:r>
    </w:p>
    <w:bookmarkEnd w:id="3"/>
    <w:p w14:paraId="22C33129" w14:textId="77777777" w:rsidR="00E95229" w:rsidRPr="000A56A7" w:rsidRDefault="00E95229" w:rsidP="00E95229">
      <w:pPr>
        <w:jc w:val="both"/>
        <w:rPr>
          <w:rFonts w:ascii="Times New Roman" w:hAnsi="Times New Roman" w:cs="Times New Roman"/>
          <w:sz w:val="20"/>
          <w:szCs w:val="20"/>
        </w:rPr>
      </w:pPr>
      <w:r w:rsidRPr="00C17008">
        <w:rPr>
          <w:rFonts w:ascii="Times New Roman" w:hAnsi="Times New Roman" w:cs="Times New Roman"/>
          <w:sz w:val="20"/>
          <w:szCs w:val="20"/>
        </w:rPr>
        <w:t xml:space="preserve">A pesar de las persistentes tensiones geopolíticas y del aumento en los costos logísticos, el mercado mundial de fertilizantes registró un </w:t>
      </w:r>
      <w:r w:rsidRPr="00C17008">
        <w:rPr>
          <w:rFonts w:ascii="Times New Roman" w:hAnsi="Times New Roman" w:cs="Times New Roman"/>
          <w:bCs/>
          <w:sz w:val="20"/>
          <w:szCs w:val="20"/>
        </w:rPr>
        <w:t>ajuste hacia la estabilización</w:t>
      </w:r>
      <w:r w:rsidRPr="00C17008">
        <w:rPr>
          <w:rFonts w:ascii="Times New Roman" w:hAnsi="Times New Roman" w:cs="Times New Roman"/>
          <w:sz w:val="20"/>
          <w:szCs w:val="20"/>
        </w:rPr>
        <w:t>, tras las fuertes fluctuaciones experimentadas</w:t>
      </w:r>
      <w:r w:rsidRPr="000A56A7">
        <w:rPr>
          <w:rFonts w:ascii="Times New Roman" w:hAnsi="Times New Roman" w:cs="Times New Roman"/>
          <w:sz w:val="20"/>
          <w:szCs w:val="20"/>
        </w:rPr>
        <w:t xml:space="preserve"> entre 2022 y 2023.</w:t>
      </w:r>
    </w:p>
    <w:p w14:paraId="3541B123" w14:textId="77777777" w:rsidR="00E95229" w:rsidRPr="000A56A7" w:rsidRDefault="00E95229" w:rsidP="00E95229">
      <w:pPr>
        <w:jc w:val="both"/>
        <w:rPr>
          <w:rFonts w:ascii="Times New Roman" w:hAnsi="Times New Roman" w:cs="Times New Roman"/>
          <w:sz w:val="20"/>
          <w:szCs w:val="20"/>
        </w:rPr>
      </w:pPr>
      <w:r w:rsidRPr="000A56A7">
        <w:rPr>
          <w:rFonts w:ascii="Times New Roman" w:hAnsi="Times New Roman" w:cs="Times New Roman"/>
          <w:sz w:val="20"/>
          <w:szCs w:val="20"/>
        </w:rPr>
        <w:t>Los datos analizados para el primer semestre de 2025 reflejan los siguientes comportamientos por tipo de fertilizante:</w:t>
      </w:r>
    </w:p>
    <w:p w14:paraId="08A3C8B4" w14:textId="4AF881EF" w:rsidR="009D34DC" w:rsidRPr="00C17008" w:rsidRDefault="006B4AD3" w:rsidP="00DF5B06">
      <w:pPr>
        <w:jc w:val="both"/>
        <w:rPr>
          <w:rFonts w:ascii="Times New Roman" w:hAnsi="Times New Roman" w:cs="Times New Roman"/>
          <w:sz w:val="20"/>
          <w:szCs w:val="20"/>
        </w:rPr>
      </w:pPr>
      <w:r w:rsidRPr="000A56A7">
        <w:rPr>
          <w:rFonts w:ascii="Times New Roman" w:hAnsi="Times New Roman" w:cs="Times New Roman"/>
          <w:sz w:val="20"/>
          <w:szCs w:val="20"/>
        </w:rPr>
        <w:t xml:space="preserve">El precio internacional </w:t>
      </w:r>
      <w:r w:rsidR="009D34DC" w:rsidRPr="000A56A7">
        <w:rPr>
          <w:rFonts w:ascii="Times New Roman" w:hAnsi="Times New Roman" w:cs="Times New Roman"/>
          <w:sz w:val="20"/>
          <w:szCs w:val="20"/>
        </w:rPr>
        <w:t xml:space="preserve">promedio de la urea se situó en torno a </w:t>
      </w:r>
      <w:r w:rsidR="009D34DC" w:rsidRPr="00C17008">
        <w:rPr>
          <w:rFonts w:ascii="Times New Roman" w:hAnsi="Times New Roman" w:cs="Times New Roman"/>
          <w:bCs/>
          <w:sz w:val="20"/>
          <w:szCs w:val="20"/>
        </w:rPr>
        <w:t>US$</w:t>
      </w:r>
      <w:r w:rsidR="0051047A" w:rsidRPr="0051047A">
        <w:rPr>
          <w:rFonts w:ascii="Times New Roman" w:hAnsi="Times New Roman" w:cs="Times New Roman"/>
          <w:bCs/>
          <w:sz w:val="20"/>
          <w:szCs w:val="20"/>
        </w:rPr>
        <w:t xml:space="preserve"> 401.81 </w:t>
      </w:r>
      <w:r w:rsidR="009D34DC" w:rsidRPr="00C17008">
        <w:rPr>
          <w:rFonts w:ascii="Times New Roman" w:hAnsi="Times New Roman" w:cs="Times New Roman"/>
          <w:bCs/>
          <w:sz w:val="20"/>
          <w:szCs w:val="20"/>
        </w:rPr>
        <w:t>por tonelada métrica</w:t>
      </w:r>
      <w:r w:rsidR="009D34DC" w:rsidRPr="00C17008">
        <w:rPr>
          <w:rFonts w:ascii="Times New Roman" w:hAnsi="Times New Roman" w:cs="Times New Roman"/>
          <w:sz w:val="20"/>
          <w:szCs w:val="20"/>
        </w:rPr>
        <w:t xml:space="preserve"> durante enero–junio de 2025, lo que representa una </w:t>
      </w:r>
      <w:r w:rsidR="009D34DC" w:rsidRPr="00C17008">
        <w:rPr>
          <w:rFonts w:ascii="Times New Roman" w:hAnsi="Times New Roman" w:cs="Times New Roman"/>
          <w:bCs/>
          <w:sz w:val="20"/>
          <w:szCs w:val="20"/>
        </w:rPr>
        <w:t xml:space="preserve">disminución de </w:t>
      </w:r>
      <w:r w:rsidR="0051047A" w:rsidRPr="00C17008">
        <w:rPr>
          <w:rFonts w:ascii="Times New Roman" w:hAnsi="Times New Roman" w:cs="Times New Roman"/>
          <w:bCs/>
          <w:sz w:val="20"/>
          <w:szCs w:val="20"/>
        </w:rPr>
        <w:t xml:space="preserve">aproximadamente </w:t>
      </w:r>
      <w:r w:rsidR="0051047A">
        <w:rPr>
          <w:rFonts w:ascii="Times New Roman" w:hAnsi="Times New Roman" w:cs="Times New Roman"/>
          <w:bCs/>
          <w:sz w:val="20"/>
          <w:szCs w:val="20"/>
        </w:rPr>
        <w:t>3.31</w:t>
      </w:r>
      <w:r w:rsidR="009D34DC" w:rsidRPr="00C17008">
        <w:rPr>
          <w:rFonts w:ascii="Times New Roman" w:hAnsi="Times New Roman" w:cs="Times New Roman"/>
          <w:bCs/>
          <w:sz w:val="20"/>
          <w:szCs w:val="20"/>
        </w:rPr>
        <w:t>%</w:t>
      </w:r>
      <w:r w:rsidR="009D34DC" w:rsidRPr="00C17008">
        <w:rPr>
          <w:rFonts w:ascii="Times New Roman" w:hAnsi="Times New Roman" w:cs="Times New Roman"/>
          <w:sz w:val="20"/>
          <w:szCs w:val="20"/>
        </w:rPr>
        <w:t xml:space="preserve"> con rel</w:t>
      </w:r>
      <w:r w:rsidR="0051047A">
        <w:rPr>
          <w:rFonts w:ascii="Times New Roman" w:hAnsi="Times New Roman" w:cs="Times New Roman"/>
          <w:sz w:val="20"/>
          <w:szCs w:val="20"/>
        </w:rPr>
        <w:t xml:space="preserve">ación al mismo período de 2024. </w:t>
      </w:r>
      <w:r w:rsidR="009D34DC" w:rsidRPr="00C17008">
        <w:rPr>
          <w:rFonts w:ascii="Times New Roman" w:hAnsi="Times New Roman" w:cs="Times New Roman"/>
          <w:sz w:val="20"/>
          <w:szCs w:val="20"/>
        </w:rPr>
        <w:t xml:space="preserve">Este descenso está vinculado a la menor demanda desde Asia y América Latina, así como a la mayor disponibilidad de gas natural en países productores como Qatar, Rusia y Egipto. </w:t>
      </w:r>
    </w:p>
    <w:p w14:paraId="02C202FD" w14:textId="69021EE2" w:rsidR="00DD470D" w:rsidRPr="000A56A7" w:rsidRDefault="0026205D" w:rsidP="00DF5B06">
      <w:pPr>
        <w:jc w:val="both"/>
        <w:rPr>
          <w:rFonts w:ascii="Times New Roman" w:hAnsi="Times New Roman" w:cs="Times New Roman"/>
          <w:sz w:val="20"/>
          <w:szCs w:val="20"/>
        </w:rPr>
      </w:pPr>
      <w:r w:rsidRPr="00C17008">
        <w:rPr>
          <w:rFonts w:ascii="Times New Roman" w:hAnsi="Times New Roman" w:cs="Times New Roman"/>
          <w:sz w:val="20"/>
          <w:szCs w:val="20"/>
        </w:rPr>
        <w:t>L</w:t>
      </w:r>
      <w:r w:rsidR="001318CE" w:rsidRPr="00C17008">
        <w:rPr>
          <w:rFonts w:ascii="Times New Roman" w:hAnsi="Times New Roman" w:cs="Times New Roman"/>
          <w:sz w:val="20"/>
          <w:szCs w:val="20"/>
        </w:rPr>
        <w:t>a cotización internacional</w:t>
      </w:r>
      <w:r w:rsidR="00D71824" w:rsidRPr="00C17008">
        <w:rPr>
          <w:rFonts w:ascii="Times New Roman" w:hAnsi="Times New Roman" w:cs="Times New Roman"/>
          <w:sz w:val="20"/>
          <w:szCs w:val="20"/>
        </w:rPr>
        <w:t xml:space="preserve"> </w:t>
      </w:r>
      <w:r w:rsidRPr="00C17008">
        <w:rPr>
          <w:rFonts w:ascii="Times New Roman" w:hAnsi="Times New Roman" w:cs="Times New Roman"/>
          <w:sz w:val="20"/>
          <w:szCs w:val="20"/>
        </w:rPr>
        <w:t xml:space="preserve">del cloruro de potasio </w:t>
      </w:r>
      <w:r w:rsidR="009D34DC" w:rsidRPr="00C17008">
        <w:rPr>
          <w:rFonts w:ascii="Times New Roman" w:hAnsi="Times New Roman" w:cs="Times New Roman"/>
          <w:sz w:val="20"/>
          <w:szCs w:val="20"/>
        </w:rPr>
        <w:t xml:space="preserve">registró una ligera baja en su cotización promedio, pasando de </w:t>
      </w:r>
      <w:r w:rsidR="009D34DC" w:rsidRPr="00C17008">
        <w:rPr>
          <w:rFonts w:ascii="Times New Roman" w:hAnsi="Times New Roman" w:cs="Times New Roman"/>
          <w:bCs/>
          <w:sz w:val="20"/>
          <w:szCs w:val="20"/>
        </w:rPr>
        <w:t>US$</w:t>
      </w:r>
      <w:r w:rsidR="0051047A">
        <w:rPr>
          <w:rFonts w:ascii="Times New Roman" w:hAnsi="Times New Roman" w:cs="Times New Roman"/>
          <w:bCs/>
          <w:sz w:val="20"/>
          <w:szCs w:val="20"/>
        </w:rPr>
        <w:t xml:space="preserve"> 301.36</w:t>
      </w:r>
      <w:r w:rsidR="009D34DC" w:rsidRPr="00C17008">
        <w:rPr>
          <w:rFonts w:ascii="Times New Roman" w:hAnsi="Times New Roman" w:cs="Times New Roman"/>
          <w:bCs/>
          <w:sz w:val="20"/>
          <w:szCs w:val="20"/>
        </w:rPr>
        <w:t>/TM en 2024</w:t>
      </w:r>
      <w:r w:rsidR="009D34DC" w:rsidRPr="00C17008">
        <w:rPr>
          <w:rFonts w:ascii="Times New Roman" w:hAnsi="Times New Roman" w:cs="Times New Roman"/>
          <w:sz w:val="20"/>
          <w:szCs w:val="20"/>
        </w:rPr>
        <w:t xml:space="preserve"> a </w:t>
      </w:r>
      <w:r w:rsidR="009D34DC" w:rsidRPr="00C17008">
        <w:rPr>
          <w:rFonts w:ascii="Times New Roman" w:hAnsi="Times New Roman" w:cs="Times New Roman"/>
          <w:bCs/>
          <w:sz w:val="20"/>
          <w:szCs w:val="20"/>
        </w:rPr>
        <w:t>US$</w:t>
      </w:r>
      <w:r w:rsidR="0051047A">
        <w:rPr>
          <w:rFonts w:ascii="Times New Roman" w:hAnsi="Times New Roman" w:cs="Times New Roman"/>
          <w:bCs/>
          <w:sz w:val="20"/>
          <w:szCs w:val="20"/>
        </w:rPr>
        <w:t xml:space="preserve"> 339.09</w:t>
      </w:r>
      <w:r w:rsidR="009D34DC" w:rsidRPr="00C17008">
        <w:rPr>
          <w:rFonts w:ascii="Times New Roman" w:hAnsi="Times New Roman" w:cs="Times New Roman"/>
          <w:bCs/>
          <w:sz w:val="20"/>
          <w:szCs w:val="20"/>
        </w:rPr>
        <w:t>/TM en 2025</w:t>
      </w:r>
      <w:r w:rsidR="009D34DC" w:rsidRPr="00C17008">
        <w:rPr>
          <w:rFonts w:ascii="Times New Roman" w:hAnsi="Times New Roman" w:cs="Times New Roman"/>
          <w:sz w:val="20"/>
          <w:szCs w:val="20"/>
        </w:rPr>
        <w:t xml:space="preserve">, equivalente a una reducción </w:t>
      </w:r>
      <w:r w:rsidR="0051047A" w:rsidRPr="00C17008">
        <w:rPr>
          <w:rFonts w:ascii="Times New Roman" w:hAnsi="Times New Roman" w:cs="Times New Roman"/>
          <w:sz w:val="20"/>
          <w:szCs w:val="20"/>
        </w:rPr>
        <w:t xml:space="preserve">del </w:t>
      </w:r>
      <w:r w:rsidR="0051047A">
        <w:rPr>
          <w:rFonts w:ascii="Times New Roman" w:hAnsi="Times New Roman" w:cs="Times New Roman"/>
          <w:bCs/>
          <w:sz w:val="20"/>
          <w:szCs w:val="20"/>
        </w:rPr>
        <w:t>3.69</w:t>
      </w:r>
      <w:r w:rsidR="009D34DC" w:rsidRPr="00C17008">
        <w:rPr>
          <w:rFonts w:ascii="Times New Roman" w:hAnsi="Times New Roman" w:cs="Times New Roman"/>
          <w:bCs/>
          <w:sz w:val="20"/>
          <w:szCs w:val="20"/>
        </w:rPr>
        <w:t>%</w:t>
      </w:r>
      <w:r w:rsidR="009D34DC" w:rsidRPr="00C17008">
        <w:rPr>
          <w:rFonts w:ascii="Times New Roman" w:hAnsi="Times New Roman" w:cs="Times New Roman"/>
          <w:sz w:val="20"/>
          <w:szCs w:val="20"/>
        </w:rPr>
        <w:t>. El ajuste refleja la recuperación de la oferta mundial de potasa y la reactivación progresiva de las</w:t>
      </w:r>
      <w:r w:rsidR="009D34DC" w:rsidRPr="000A56A7">
        <w:rPr>
          <w:rFonts w:ascii="Times New Roman" w:hAnsi="Times New Roman" w:cs="Times New Roman"/>
          <w:sz w:val="20"/>
          <w:szCs w:val="20"/>
        </w:rPr>
        <w:t xml:space="preserve"> exportaciones desde Canadá y Bielorrusia.</w:t>
      </w:r>
    </w:p>
    <w:p w14:paraId="10001C4A" w14:textId="0D822EBD" w:rsidR="009D34DC" w:rsidRPr="00C17008" w:rsidRDefault="0045503E" w:rsidP="006141DB">
      <w:pPr>
        <w:jc w:val="both"/>
        <w:rPr>
          <w:rFonts w:ascii="Times New Roman" w:hAnsi="Times New Roman" w:cs="Times New Roman"/>
          <w:sz w:val="20"/>
          <w:szCs w:val="20"/>
        </w:rPr>
      </w:pPr>
      <w:r w:rsidRPr="000A56A7">
        <w:rPr>
          <w:rFonts w:ascii="Times New Roman" w:hAnsi="Times New Roman" w:cs="Times New Roman"/>
          <w:sz w:val="20"/>
          <w:szCs w:val="20"/>
        </w:rPr>
        <w:t>El p</w:t>
      </w:r>
      <w:r w:rsidR="00967EE6" w:rsidRPr="000A56A7">
        <w:rPr>
          <w:rFonts w:ascii="Times New Roman" w:hAnsi="Times New Roman" w:cs="Times New Roman"/>
          <w:sz w:val="20"/>
          <w:szCs w:val="20"/>
        </w:rPr>
        <w:t xml:space="preserve">recio </w:t>
      </w:r>
      <w:r w:rsidR="0026205D" w:rsidRPr="000A56A7">
        <w:rPr>
          <w:rFonts w:ascii="Times New Roman" w:hAnsi="Times New Roman" w:cs="Times New Roman"/>
          <w:sz w:val="20"/>
          <w:szCs w:val="20"/>
        </w:rPr>
        <w:t>i</w:t>
      </w:r>
      <w:r w:rsidR="00967EE6" w:rsidRPr="000A56A7">
        <w:rPr>
          <w:rFonts w:ascii="Times New Roman" w:hAnsi="Times New Roman" w:cs="Times New Roman"/>
          <w:sz w:val="20"/>
          <w:szCs w:val="20"/>
        </w:rPr>
        <w:t xml:space="preserve">nternacional del </w:t>
      </w:r>
      <w:r w:rsidR="002F7272" w:rsidRPr="000A56A7">
        <w:rPr>
          <w:rFonts w:ascii="Times New Roman" w:hAnsi="Times New Roman" w:cs="Times New Roman"/>
          <w:sz w:val="20"/>
          <w:szCs w:val="20"/>
        </w:rPr>
        <w:t xml:space="preserve">Fosfato </w:t>
      </w:r>
      <w:r w:rsidR="002534E4" w:rsidRPr="000A56A7">
        <w:rPr>
          <w:rFonts w:ascii="Times New Roman" w:hAnsi="Times New Roman" w:cs="Times New Roman"/>
          <w:sz w:val="20"/>
          <w:szCs w:val="20"/>
        </w:rPr>
        <w:t>Dia</w:t>
      </w:r>
      <w:r w:rsidR="0084691E" w:rsidRPr="000A56A7">
        <w:rPr>
          <w:rFonts w:ascii="Times New Roman" w:hAnsi="Times New Roman" w:cs="Times New Roman"/>
          <w:sz w:val="20"/>
          <w:szCs w:val="20"/>
        </w:rPr>
        <w:t>m</w:t>
      </w:r>
      <w:r w:rsidR="002534E4" w:rsidRPr="000A56A7">
        <w:rPr>
          <w:rFonts w:ascii="Times New Roman" w:hAnsi="Times New Roman" w:cs="Times New Roman"/>
          <w:sz w:val="20"/>
          <w:szCs w:val="20"/>
        </w:rPr>
        <w:t>ó</w:t>
      </w:r>
      <w:r w:rsidR="0084691E" w:rsidRPr="000A56A7">
        <w:rPr>
          <w:rFonts w:ascii="Times New Roman" w:hAnsi="Times New Roman" w:cs="Times New Roman"/>
          <w:sz w:val="20"/>
          <w:szCs w:val="20"/>
        </w:rPr>
        <w:t>n</w:t>
      </w:r>
      <w:r w:rsidR="002534E4" w:rsidRPr="000A56A7">
        <w:rPr>
          <w:rFonts w:ascii="Times New Roman" w:hAnsi="Times New Roman" w:cs="Times New Roman"/>
          <w:sz w:val="20"/>
          <w:szCs w:val="20"/>
        </w:rPr>
        <w:t>i</w:t>
      </w:r>
      <w:r w:rsidR="0084691E" w:rsidRPr="000A56A7">
        <w:rPr>
          <w:rFonts w:ascii="Times New Roman" w:hAnsi="Times New Roman" w:cs="Times New Roman"/>
          <w:sz w:val="20"/>
          <w:szCs w:val="20"/>
        </w:rPr>
        <w:t>co</w:t>
      </w:r>
      <w:r w:rsidR="00DD470D" w:rsidRPr="000A56A7">
        <w:rPr>
          <w:rFonts w:ascii="Times New Roman" w:hAnsi="Times New Roman" w:cs="Times New Roman"/>
          <w:sz w:val="20"/>
          <w:szCs w:val="20"/>
        </w:rPr>
        <w:t xml:space="preserve"> </w:t>
      </w:r>
      <w:r w:rsidR="009D34DC" w:rsidRPr="000A56A7">
        <w:rPr>
          <w:rFonts w:ascii="Times New Roman" w:hAnsi="Times New Roman" w:cs="Times New Roman"/>
          <w:sz w:val="20"/>
          <w:szCs w:val="20"/>
        </w:rPr>
        <w:t xml:space="preserve">mostró una tendencia estable con un leve descenso </w:t>
      </w:r>
      <w:r w:rsidR="009D34DC" w:rsidRPr="00C17008">
        <w:rPr>
          <w:rFonts w:ascii="Times New Roman" w:hAnsi="Times New Roman" w:cs="Times New Roman"/>
          <w:sz w:val="20"/>
          <w:szCs w:val="20"/>
        </w:rPr>
        <w:t xml:space="preserve">de precios, al pasar de </w:t>
      </w:r>
      <w:r w:rsidR="009D34DC" w:rsidRPr="00C17008">
        <w:rPr>
          <w:rFonts w:ascii="Times New Roman" w:hAnsi="Times New Roman" w:cs="Times New Roman"/>
          <w:bCs/>
          <w:sz w:val="20"/>
          <w:szCs w:val="20"/>
        </w:rPr>
        <w:t>US$</w:t>
      </w:r>
      <w:r w:rsidR="001E3445">
        <w:rPr>
          <w:rFonts w:ascii="Times New Roman" w:hAnsi="Times New Roman" w:cs="Times New Roman"/>
          <w:bCs/>
          <w:sz w:val="20"/>
          <w:szCs w:val="20"/>
        </w:rPr>
        <w:t xml:space="preserve"> 567.93</w:t>
      </w:r>
      <w:r w:rsidR="009D34DC" w:rsidRPr="00C17008">
        <w:rPr>
          <w:rFonts w:ascii="Times New Roman" w:hAnsi="Times New Roman" w:cs="Times New Roman"/>
          <w:bCs/>
          <w:sz w:val="20"/>
          <w:szCs w:val="20"/>
        </w:rPr>
        <w:t>/TM en el primer semestre de 2024</w:t>
      </w:r>
      <w:r w:rsidR="009D34DC" w:rsidRPr="00C17008">
        <w:rPr>
          <w:rFonts w:ascii="Times New Roman" w:hAnsi="Times New Roman" w:cs="Times New Roman"/>
          <w:sz w:val="20"/>
          <w:szCs w:val="20"/>
        </w:rPr>
        <w:t xml:space="preserve"> a </w:t>
      </w:r>
      <w:r w:rsidR="009D34DC" w:rsidRPr="00C17008">
        <w:rPr>
          <w:rFonts w:ascii="Times New Roman" w:hAnsi="Times New Roman" w:cs="Times New Roman"/>
          <w:bCs/>
          <w:sz w:val="20"/>
          <w:szCs w:val="20"/>
        </w:rPr>
        <w:t>US$</w:t>
      </w:r>
      <w:r w:rsidR="001E3445" w:rsidRPr="001E3445">
        <w:rPr>
          <w:rFonts w:ascii="Times New Roman" w:hAnsi="Times New Roman" w:cs="Times New Roman"/>
          <w:bCs/>
          <w:sz w:val="20"/>
          <w:szCs w:val="20"/>
        </w:rPr>
        <w:t xml:space="preserve"> 636.86 </w:t>
      </w:r>
      <w:r w:rsidR="009D34DC" w:rsidRPr="00C17008">
        <w:rPr>
          <w:rFonts w:ascii="Times New Roman" w:hAnsi="Times New Roman" w:cs="Times New Roman"/>
          <w:bCs/>
          <w:sz w:val="20"/>
          <w:szCs w:val="20"/>
        </w:rPr>
        <w:t>/TM en 2025</w:t>
      </w:r>
      <w:r w:rsidR="009D34DC" w:rsidRPr="00C17008">
        <w:rPr>
          <w:rFonts w:ascii="Times New Roman" w:hAnsi="Times New Roman" w:cs="Times New Roman"/>
          <w:sz w:val="20"/>
          <w:szCs w:val="20"/>
        </w:rPr>
        <w:t xml:space="preserve">, lo que equivale a una reducción del </w:t>
      </w:r>
      <w:r w:rsidR="001E3445">
        <w:rPr>
          <w:rFonts w:ascii="Times New Roman" w:hAnsi="Times New Roman" w:cs="Times New Roman"/>
          <w:bCs/>
          <w:sz w:val="20"/>
          <w:szCs w:val="20"/>
        </w:rPr>
        <w:t>3.9</w:t>
      </w:r>
      <w:r w:rsidR="009D34DC" w:rsidRPr="00C17008">
        <w:rPr>
          <w:rFonts w:ascii="Times New Roman" w:hAnsi="Times New Roman" w:cs="Times New Roman"/>
          <w:bCs/>
          <w:sz w:val="20"/>
          <w:szCs w:val="20"/>
        </w:rPr>
        <w:t>%</w:t>
      </w:r>
      <w:r w:rsidR="009D34DC" w:rsidRPr="00C17008">
        <w:rPr>
          <w:rFonts w:ascii="Times New Roman" w:hAnsi="Times New Roman" w:cs="Times New Roman"/>
          <w:sz w:val="20"/>
          <w:szCs w:val="20"/>
        </w:rPr>
        <w:t>.</w:t>
      </w:r>
      <w:r w:rsidR="00D24A24" w:rsidRPr="00C17008">
        <w:rPr>
          <w:rFonts w:ascii="Times New Roman" w:hAnsi="Times New Roman" w:cs="Times New Roman"/>
          <w:sz w:val="20"/>
          <w:szCs w:val="20"/>
        </w:rPr>
        <w:t xml:space="preserve"> </w:t>
      </w:r>
      <w:r w:rsidR="009D34DC" w:rsidRPr="00C17008">
        <w:rPr>
          <w:rFonts w:ascii="Times New Roman" w:hAnsi="Times New Roman" w:cs="Times New Roman"/>
          <w:sz w:val="20"/>
          <w:szCs w:val="20"/>
        </w:rPr>
        <w:t xml:space="preserve">Esta moderación se debe a una menor demanda de importación en Asia y a la estabilidad en los precios de la roca fosfórica. </w:t>
      </w:r>
    </w:p>
    <w:p w14:paraId="58870D99" w14:textId="7DA434F8" w:rsidR="009D34DC" w:rsidRPr="00C17008" w:rsidRDefault="00077E72" w:rsidP="009D34DC">
      <w:pPr>
        <w:jc w:val="both"/>
        <w:rPr>
          <w:rFonts w:ascii="Times New Roman" w:hAnsi="Times New Roman" w:cs="Times New Roman"/>
          <w:sz w:val="20"/>
          <w:szCs w:val="20"/>
        </w:rPr>
      </w:pPr>
      <w:r w:rsidRPr="00C17008">
        <w:rPr>
          <w:rFonts w:ascii="Times New Roman" w:hAnsi="Times New Roman" w:cs="Times New Roman"/>
          <w:sz w:val="20"/>
          <w:szCs w:val="20"/>
        </w:rPr>
        <w:t xml:space="preserve">Del mismo modo, la fosforita </w:t>
      </w:r>
      <w:r w:rsidR="009D34DC" w:rsidRPr="00C17008">
        <w:rPr>
          <w:rFonts w:ascii="Times New Roman" w:hAnsi="Times New Roman" w:cs="Times New Roman"/>
          <w:sz w:val="20"/>
          <w:szCs w:val="20"/>
        </w:rPr>
        <w:t xml:space="preserve">presentó una leve variación positiva, con un promedio de </w:t>
      </w:r>
      <w:r w:rsidR="001E3445">
        <w:rPr>
          <w:rFonts w:ascii="Times New Roman" w:hAnsi="Times New Roman" w:cs="Times New Roman"/>
          <w:bCs/>
          <w:sz w:val="20"/>
          <w:szCs w:val="20"/>
        </w:rPr>
        <w:t>US$152.50</w:t>
      </w:r>
      <w:r w:rsidR="009D34DC" w:rsidRPr="00C17008">
        <w:rPr>
          <w:rFonts w:ascii="Times New Roman" w:hAnsi="Times New Roman" w:cs="Times New Roman"/>
          <w:bCs/>
          <w:sz w:val="20"/>
          <w:szCs w:val="20"/>
        </w:rPr>
        <w:t>/TM en 2024</w:t>
      </w:r>
      <w:r w:rsidR="009D34DC" w:rsidRPr="00C17008">
        <w:rPr>
          <w:rFonts w:ascii="Times New Roman" w:hAnsi="Times New Roman" w:cs="Times New Roman"/>
          <w:sz w:val="20"/>
          <w:szCs w:val="20"/>
        </w:rPr>
        <w:t xml:space="preserve"> frente a </w:t>
      </w:r>
      <w:r w:rsidR="009D34DC" w:rsidRPr="00C17008">
        <w:rPr>
          <w:rFonts w:ascii="Times New Roman" w:hAnsi="Times New Roman" w:cs="Times New Roman"/>
          <w:bCs/>
          <w:sz w:val="20"/>
          <w:szCs w:val="20"/>
        </w:rPr>
        <w:t>US$</w:t>
      </w:r>
      <w:r w:rsidR="001E3445">
        <w:rPr>
          <w:rFonts w:ascii="Times New Roman" w:hAnsi="Times New Roman" w:cs="Times New Roman"/>
          <w:bCs/>
          <w:sz w:val="20"/>
          <w:szCs w:val="20"/>
        </w:rPr>
        <w:t xml:space="preserve"> 152.50</w:t>
      </w:r>
      <w:r w:rsidR="009D34DC" w:rsidRPr="00C17008">
        <w:rPr>
          <w:rFonts w:ascii="Times New Roman" w:hAnsi="Times New Roman" w:cs="Times New Roman"/>
          <w:bCs/>
          <w:sz w:val="20"/>
          <w:szCs w:val="20"/>
        </w:rPr>
        <w:t>/TM en 2025</w:t>
      </w:r>
      <w:r w:rsidR="001E3445">
        <w:rPr>
          <w:rFonts w:ascii="Times New Roman" w:hAnsi="Times New Roman" w:cs="Times New Roman"/>
          <w:sz w:val="20"/>
          <w:szCs w:val="20"/>
        </w:rPr>
        <w:t>, es decir</w:t>
      </w:r>
      <w:r w:rsidR="009D34DC" w:rsidRPr="00C17008">
        <w:rPr>
          <w:rFonts w:ascii="Times New Roman" w:hAnsi="Times New Roman" w:cs="Times New Roman"/>
          <w:sz w:val="20"/>
          <w:szCs w:val="20"/>
        </w:rPr>
        <w:t xml:space="preserve">, atribuible al repunte en la demanda de fertilizantes fosfatados para cultivos intensivos en Asia y América del Sur. </w:t>
      </w:r>
    </w:p>
    <w:p w14:paraId="5B24DE8D" w14:textId="27B8110D" w:rsidR="00ED7FAD" w:rsidRPr="00C17008" w:rsidRDefault="00595FC4" w:rsidP="009D34DC">
      <w:pPr>
        <w:jc w:val="both"/>
        <w:rPr>
          <w:rFonts w:ascii="Times New Roman" w:hAnsi="Times New Roman" w:cs="Times New Roman"/>
          <w:sz w:val="20"/>
          <w:szCs w:val="20"/>
        </w:rPr>
      </w:pPr>
      <w:r w:rsidRPr="00C17008">
        <w:rPr>
          <w:rFonts w:ascii="Times New Roman" w:hAnsi="Times New Roman" w:cs="Times New Roman"/>
          <w:sz w:val="20"/>
          <w:szCs w:val="20"/>
        </w:rPr>
        <w:t>El p</w:t>
      </w:r>
      <w:r w:rsidR="00D345CA" w:rsidRPr="00C17008">
        <w:rPr>
          <w:rFonts w:ascii="Times New Roman" w:hAnsi="Times New Roman" w:cs="Times New Roman"/>
          <w:sz w:val="20"/>
          <w:szCs w:val="20"/>
        </w:rPr>
        <w:t>recio Internacional de</w:t>
      </w:r>
      <w:r w:rsidR="008D7B31" w:rsidRPr="00C17008">
        <w:rPr>
          <w:rFonts w:ascii="Times New Roman" w:hAnsi="Times New Roman" w:cs="Times New Roman"/>
          <w:sz w:val="20"/>
          <w:szCs w:val="20"/>
        </w:rPr>
        <w:t>l</w:t>
      </w:r>
      <w:r w:rsidR="00D345CA" w:rsidRPr="00C17008">
        <w:rPr>
          <w:rFonts w:ascii="Times New Roman" w:hAnsi="Times New Roman" w:cs="Times New Roman"/>
          <w:sz w:val="20"/>
          <w:szCs w:val="20"/>
        </w:rPr>
        <w:t xml:space="preserve"> Superfosfato </w:t>
      </w:r>
      <w:r w:rsidR="00C50C48" w:rsidRPr="00C17008">
        <w:rPr>
          <w:rFonts w:ascii="Times New Roman" w:hAnsi="Times New Roman" w:cs="Times New Roman"/>
          <w:sz w:val="20"/>
          <w:szCs w:val="20"/>
        </w:rPr>
        <w:t xml:space="preserve">Triple </w:t>
      </w:r>
      <w:bookmarkStart w:id="4" w:name="_Toc98329021"/>
      <w:r w:rsidR="009D34DC" w:rsidRPr="00C17008">
        <w:rPr>
          <w:rFonts w:ascii="Times New Roman" w:hAnsi="Times New Roman" w:cs="Times New Roman"/>
          <w:sz w:val="20"/>
          <w:szCs w:val="20"/>
        </w:rPr>
        <w:t xml:space="preserve">reflejó una baja más acentuada, pasando de </w:t>
      </w:r>
      <w:r w:rsidR="009D34DC" w:rsidRPr="00C17008">
        <w:rPr>
          <w:rFonts w:ascii="Times New Roman" w:hAnsi="Times New Roman" w:cs="Times New Roman"/>
          <w:bCs/>
          <w:sz w:val="20"/>
          <w:szCs w:val="20"/>
        </w:rPr>
        <w:t>US$612.00/TM en 2024</w:t>
      </w:r>
      <w:r w:rsidR="009D34DC" w:rsidRPr="00C17008">
        <w:rPr>
          <w:rFonts w:ascii="Times New Roman" w:hAnsi="Times New Roman" w:cs="Times New Roman"/>
          <w:sz w:val="20"/>
          <w:szCs w:val="20"/>
        </w:rPr>
        <w:t xml:space="preserve"> a </w:t>
      </w:r>
      <w:r w:rsidR="009D34DC" w:rsidRPr="00C17008">
        <w:rPr>
          <w:rFonts w:ascii="Times New Roman" w:hAnsi="Times New Roman" w:cs="Times New Roman"/>
          <w:bCs/>
          <w:sz w:val="20"/>
          <w:szCs w:val="20"/>
        </w:rPr>
        <w:t>US$</w:t>
      </w:r>
      <w:r w:rsidR="001E3445">
        <w:rPr>
          <w:rFonts w:ascii="Times New Roman" w:hAnsi="Times New Roman" w:cs="Times New Roman"/>
          <w:bCs/>
          <w:sz w:val="20"/>
          <w:szCs w:val="20"/>
        </w:rPr>
        <w:t xml:space="preserve"> 519.31</w:t>
      </w:r>
      <w:r w:rsidR="009D34DC" w:rsidRPr="00C17008">
        <w:rPr>
          <w:rFonts w:ascii="Times New Roman" w:hAnsi="Times New Roman" w:cs="Times New Roman"/>
          <w:bCs/>
          <w:sz w:val="20"/>
          <w:szCs w:val="20"/>
        </w:rPr>
        <w:t>/TM en 2025</w:t>
      </w:r>
      <w:r w:rsidR="009D34DC" w:rsidRPr="00C17008">
        <w:rPr>
          <w:rFonts w:ascii="Times New Roman" w:hAnsi="Times New Roman" w:cs="Times New Roman"/>
          <w:sz w:val="20"/>
          <w:szCs w:val="20"/>
        </w:rPr>
        <w:t xml:space="preserve">, equivalente a un descenso del </w:t>
      </w:r>
      <w:r w:rsidR="001E3445">
        <w:rPr>
          <w:rFonts w:ascii="Times New Roman" w:hAnsi="Times New Roman" w:cs="Times New Roman"/>
          <w:bCs/>
          <w:sz w:val="20"/>
          <w:szCs w:val="20"/>
        </w:rPr>
        <w:t>5.24</w:t>
      </w:r>
      <w:r w:rsidR="009D34DC" w:rsidRPr="00C17008">
        <w:rPr>
          <w:rFonts w:ascii="Times New Roman" w:hAnsi="Times New Roman" w:cs="Times New Roman"/>
          <w:bCs/>
          <w:sz w:val="20"/>
          <w:szCs w:val="20"/>
        </w:rPr>
        <w:t>%</w:t>
      </w:r>
      <w:r w:rsidR="009D34DC" w:rsidRPr="00C17008">
        <w:rPr>
          <w:rFonts w:ascii="Times New Roman" w:hAnsi="Times New Roman" w:cs="Times New Roman"/>
          <w:sz w:val="20"/>
          <w:szCs w:val="20"/>
        </w:rPr>
        <w:t xml:space="preserve">. La caída responde al exceso temporal de oferta en el mercado africano y asiático, donde la producción </w:t>
      </w:r>
      <w:r w:rsidR="009D34DC" w:rsidRPr="00C17008">
        <w:rPr>
          <w:rFonts w:ascii="Times New Roman" w:hAnsi="Times New Roman" w:cs="Times New Roman"/>
          <w:sz w:val="20"/>
          <w:szCs w:val="20"/>
        </w:rPr>
        <w:t xml:space="preserve">se incrementó tras la reactivación de plantas suspendidas durante 2023. </w:t>
      </w:r>
    </w:p>
    <w:p w14:paraId="1375BD0B" w14:textId="51DA3240" w:rsidR="009D34DC" w:rsidRPr="00C17008" w:rsidRDefault="009D34DC" w:rsidP="009D34DC">
      <w:pPr>
        <w:jc w:val="both"/>
        <w:rPr>
          <w:rFonts w:ascii="Times New Roman" w:hAnsi="Times New Roman" w:cs="Times New Roman"/>
          <w:sz w:val="20"/>
          <w:szCs w:val="20"/>
        </w:rPr>
      </w:pPr>
      <w:r w:rsidRPr="00C17008">
        <w:rPr>
          <w:rFonts w:ascii="Times New Roman" w:hAnsi="Times New Roman" w:cs="Times New Roman"/>
          <w:sz w:val="20"/>
          <w:szCs w:val="20"/>
        </w:rPr>
        <w:t xml:space="preserve">En conjunto, los precios internacionales de los fertilizantes </w:t>
      </w:r>
      <w:r w:rsidRPr="00C17008">
        <w:rPr>
          <w:rFonts w:ascii="Times New Roman" w:hAnsi="Times New Roman" w:cs="Times New Roman"/>
          <w:bCs/>
          <w:sz w:val="20"/>
          <w:szCs w:val="20"/>
        </w:rPr>
        <w:t>mantuvieron una tendencia de ajuste gradual a la baja</w:t>
      </w:r>
      <w:r w:rsidRPr="00C17008">
        <w:rPr>
          <w:rFonts w:ascii="Times New Roman" w:hAnsi="Times New Roman" w:cs="Times New Roman"/>
          <w:sz w:val="20"/>
          <w:szCs w:val="20"/>
        </w:rPr>
        <w:t xml:space="preserve"> durante el primer semestre de 2025, influenciados por la </w:t>
      </w:r>
      <w:r w:rsidRPr="00C17008">
        <w:rPr>
          <w:rFonts w:ascii="Times New Roman" w:hAnsi="Times New Roman" w:cs="Times New Roman"/>
          <w:bCs/>
          <w:sz w:val="20"/>
          <w:szCs w:val="20"/>
        </w:rPr>
        <w:t>estabilización del mercado energético</w:t>
      </w:r>
      <w:r w:rsidRPr="00C17008">
        <w:rPr>
          <w:rFonts w:ascii="Times New Roman" w:hAnsi="Times New Roman" w:cs="Times New Roman"/>
          <w:sz w:val="20"/>
          <w:szCs w:val="20"/>
        </w:rPr>
        <w:t xml:space="preserve">, la </w:t>
      </w:r>
      <w:r w:rsidRPr="00C17008">
        <w:rPr>
          <w:rFonts w:ascii="Times New Roman" w:hAnsi="Times New Roman" w:cs="Times New Roman"/>
          <w:bCs/>
          <w:sz w:val="20"/>
          <w:szCs w:val="20"/>
        </w:rPr>
        <w:t>recuperación de la oferta global</w:t>
      </w:r>
      <w:r w:rsidRPr="00C17008">
        <w:rPr>
          <w:rFonts w:ascii="Times New Roman" w:hAnsi="Times New Roman" w:cs="Times New Roman"/>
          <w:sz w:val="20"/>
          <w:szCs w:val="20"/>
        </w:rPr>
        <w:t xml:space="preserve"> y la </w:t>
      </w:r>
      <w:r w:rsidRPr="00C17008">
        <w:rPr>
          <w:rFonts w:ascii="Times New Roman" w:hAnsi="Times New Roman" w:cs="Times New Roman"/>
          <w:bCs/>
          <w:sz w:val="20"/>
          <w:szCs w:val="20"/>
        </w:rPr>
        <w:t>reducción de los costos logísticos</w:t>
      </w:r>
      <w:r w:rsidRPr="00C17008">
        <w:rPr>
          <w:rFonts w:ascii="Times New Roman" w:hAnsi="Times New Roman" w:cs="Times New Roman"/>
          <w:sz w:val="20"/>
          <w:szCs w:val="20"/>
        </w:rPr>
        <w:t>.</w:t>
      </w:r>
      <w:r w:rsidRPr="00C17008">
        <w:rPr>
          <w:rFonts w:ascii="Times New Roman" w:hAnsi="Times New Roman" w:cs="Times New Roman"/>
          <w:sz w:val="20"/>
          <w:szCs w:val="20"/>
        </w:rPr>
        <w:br/>
        <w:t>Estas condiciones han contribuid</w:t>
      </w:r>
      <w:r w:rsidR="00C17008">
        <w:rPr>
          <w:rFonts w:ascii="Times New Roman" w:hAnsi="Times New Roman" w:cs="Times New Roman"/>
          <w:sz w:val="20"/>
          <w:szCs w:val="20"/>
        </w:rPr>
        <w:t>o a que los mercados nacionales,</w:t>
      </w:r>
      <w:r w:rsidRPr="00C17008">
        <w:rPr>
          <w:rFonts w:ascii="Times New Roman" w:hAnsi="Times New Roman" w:cs="Times New Roman"/>
          <w:sz w:val="20"/>
          <w:szCs w:val="20"/>
        </w:rPr>
        <w:t xml:space="preserve"> experimenten </w:t>
      </w:r>
      <w:r w:rsidRPr="00C17008">
        <w:rPr>
          <w:rFonts w:ascii="Times New Roman" w:hAnsi="Times New Roman" w:cs="Times New Roman"/>
          <w:bCs/>
          <w:sz w:val="20"/>
          <w:szCs w:val="20"/>
        </w:rPr>
        <w:t>niveles de precios más moderados</w:t>
      </w:r>
      <w:r w:rsidRPr="00C17008">
        <w:rPr>
          <w:rFonts w:ascii="Times New Roman" w:hAnsi="Times New Roman" w:cs="Times New Roman"/>
          <w:sz w:val="20"/>
          <w:szCs w:val="20"/>
        </w:rPr>
        <w:t xml:space="preserve"> y una </w:t>
      </w:r>
      <w:r w:rsidRPr="00C17008">
        <w:rPr>
          <w:rFonts w:ascii="Times New Roman" w:hAnsi="Times New Roman" w:cs="Times New Roman"/>
          <w:bCs/>
          <w:sz w:val="20"/>
          <w:szCs w:val="20"/>
        </w:rPr>
        <w:t>disponibilidad estable de insumos agrícolas</w:t>
      </w:r>
      <w:r w:rsidRPr="00C17008">
        <w:rPr>
          <w:rFonts w:ascii="Times New Roman" w:hAnsi="Times New Roman" w:cs="Times New Roman"/>
          <w:sz w:val="20"/>
          <w:szCs w:val="20"/>
        </w:rPr>
        <w:t>.</w:t>
      </w:r>
    </w:p>
    <w:p w14:paraId="77680A4E" w14:textId="738AB49B" w:rsidR="001069A4" w:rsidRPr="000A56A7" w:rsidRDefault="006F30C3" w:rsidP="0026205D">
      <w:pPr>
        <w:pStyle w:val="Adelle"/>
        <w:spacing w:before="0"/>
        <w:rPr>
          <w:rFonts w:ascii="Times New Roman" w:hAnsi="Times New Roman" w:cs="Times New Roman"/>
          <w:color w:val="002060"/>
          <w:sz w:val="20"/>
          <w:szCs w:val="20"/>
        </w:rPr>
      </w:pPr>
      <w:r w:rsidRPr="000A56A7">
        <w:rPr>
          <w:rFonts w:ascii="Times New Roman" w:hAnsi="Times New Roman" w:cs="Times New Roman"/>
          <w:color w:val="002060"/>
          <w:sz w:val="20"/>
          <w:szCs w:val="20"/>
        </w:rPr>
        <w:t>Precios Nacionales de Fertilizantes</w:t>
      </w:r>
      <w:bookmarkEnd w:id="4"/>
      <w:r w:rsidRPr="000A56A7">
        <w:rPr>
          <w:rFonts w:ascii="Times New Roman" w:hAnsi="Times New Roman" w:cs="Times New Roman"/>
          <w:color w:val="002060"/>
          <w:sz w:val="20"/>
          <w:szCs w:val="20"/>
        </w:rPr>
        <w:t xml:space="preserve"> </w:t>
      </w:r>
    </w:p>
    <w:p w14:paraId="14DF15D2" w14:textId="77777777" w:rsidR="0026205D" w:rsidRPr="000A56A7" w:rsidRDefault="0026205D" w:rsidP="0026205D">
      <w:pPr>
        <w:pStyle w:val="Subttulo"/>
        <w:spacing w:after="0"/>
        <w:rPr>
          <w:rFonts w:ascii="Times New Roman" w:hAnsi="Times New Roman" w:cs="Times New Roman"/>
          <w:sz w:val="20"/>
          <w:szCs w:val="20"/>
        </w:rPr>
      </w:pPr>
    </w:p>
    <w:p w14:paraId="3D5D3186" w14:textId="3B903F11" w:rsidR="00D24A24" w:rsidRPr="000A56A7" w:rsidRDefault="009D34DC" w:rsidP="00D24A24">
      <w:pPr>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 xml:space="preserve">Durante el período </w:t>
      </w:r>
      <w:r w:rsidRPr="00C17008">
        <w:rPr>
          <w:rFonts w:ascii="Times New Roman" w:hAnsi="Times New Roman" w:cs="Times New Roman"/>
          <w:color w:val="000000" w:themeColor="text1"/>
          <w:sz w:val="20"/>
          <w:szCs w:val="20"/>
        </w:rPr>
        <w:t xml:space="preserve">comprendido entre </w:t>
      </w:r>
      <w:r w:rsidRPr="00C17008">
        <w:rPr>
          <w:rFonts w:ascii="Times New Roman" w:hAnsi="Times New Roman" w:cs="Times New Roman"/>
          <w:bCs/>
          <w:color w:val="000000" w:themeColor="text1"/>
          <w:sz w:val="20"/>
          <w:szCs w:val="20"/>
        </w:rPr>
        <w:t>diciembre de 2023 y junio de 2025</w:t>
      </w:r>
      <w:r w:rsidRPr="00C17008">
        <w:rPr>
          <w:rFonts w:ascii="Times New Roman" w:hAnsi="Times New Roman" w:cs="Times New Roman"/>
          <w:color w:val="000000" w:themeColor="text1"/>
          <w:sz w:val="20"/>
          <w:szCs w:val="20"/>
        </w:rPr>
        <w:t xml:space="preserve">, los precios de los fertilizantes en la República Dominicana mostraron una </w:t>
      </w:r>
      <w:r w:rsidRPr="00C17008">
        <w:rPr>
          <w:rFonts w:ascii="Times New Roman" w:hAnsi="Times New Roman" w:cs="Times New Roman"/>
          <w:bCs/>
          <w:color w:val="000000" w:themeColor="text1"/>
          <w:sz w:val="20"/>
          <w:szCs w:val="20"/>
        </w:rPr>
        <w:t>tendencia de moderación y estabilidad</w:t>
      </w:r>
      <w:r w:rsidRPr="00C17008">
        <w:rPr>
          <w:rFonts w:ascii="Times New Roman" w:hAnsi="Times New Roman" w:cs="Times New Roman"/>
          <w:color w:val="000000" w:themeColor="text1"/>
          <w:sz w:val="20"/>
          <w:szCs w:val="20"/>
        </w:rPr>
        <w:t>, luego de la alta volatilidad observada en años</w:t>
      </w:r>
      <w:r w:rsidR="00D24A24" w:rsidRPr="00C17008">
        <w:rPr>
          <w:rFonts w:ascii="Times New Roman" w:hAnsi="Times New Roman" w:cs="Times New Roman"/>
          <w:color w:val="000000" w:themeColor="text1"/>
          <w:sz w:val="20"/>
          <w:szCs w:val="20"/>
        </w:rPr>
        <w:t xml:space="preserve"> </w:t>
      </w:r>
      <w:r w:rsidRPr="00C17008">
        <w:rPr>
          <w:rFonts w:ascii="Times New Roman" w:hAnsi="Times New Roman" w:cs="Times New Roman"/>
          <w:color w:val="000000" w:themeColor="text1"/>
          <w:sz w:val="20"/>
          <w:szCs w:val="20"/>
        </w:rPr>
        <w:t>anteriores.</w:t>
      </w:r>
      <w:r w:rsidR="00D24A24" w:rsidRPr="00C17008">
        <w:rPr>
          <w:rFonts w:ascii="Times New Roman" w:hAnsi="Times New Roman" w:cs="Times New Roman"/>
          <w:color w:val="000000" w:themeColor="text1"/>
          <w:sz w:val="20"/>
          <w:szCs w:val="20"/>
        </w:rPr>
        <w:t xml:space="preserve"> </w:t>
      </w:r>
      <w:r w:rsidRPr="00C17008">
        <w:rPr>
          <w:rFonts w:ascii="Times New Roman" w:hAnsi="Times New Roman" w:cs="Times New Roman"/>
          <w:color w:val="000000" w:themeColor="text1"/>
          <w:sz w:val="20"/>
          <w:szCs w:val="20"/>
        </w:rPr>
        <w:t>Tras los incrementos significativos</w:t>
      </w:r>
      <w:r w:rsidR="00C17008">
        <w:rPr>
          <w:rFonts w:ascii="Times New Roman" w:hAnsi="Times New Roman" w:cs="Times New Roman"/>
          <w:color w:val="000000" w:themeColor="text1"/>
          <w:sz w:val="20"/>
          <w:szCs w:val="20"/>
        </w:rPr>
        <w:t xml:space="preserve"> registrados entre 2021 y 2022 </w:t>
      </w:r>
      <w:r w:rsidRPr="00C17008">
        <w:rPr>
          <w:rFonts w:ascii="Times New Roman" w:hAnsi="Times New Roman" w:cs="Times New Roman"/>
          <w:color w:val="000000" w:themeColor="text1"/>
          <w:sz w:val="20"/>
          <w:szCs w:val="20"/>
        </w:rPr>
        <w:t xml:space="preserve">cuando el quintal de urea alcanzó precios superiores a </w:t>
      </w:r>
      <w:r w:rsidRPr="00C17008">
        <w:rPr>
          <w:rFonts w:ascii="Times New Roman" w:hAnsi="Times New Roman" w:cs="Times New Roman"/>
          <w:bCs/>
          <w:color w:val="000000" w:themeColor="text1"/>
          <w:sz w:val="20"/>
          <w:szCs w:val="20"/>
        </w:rPr>
        <w:t>RD$2,400</w:t>
      </w:r>
      <w:r w:rsidRPr="00C17008">
        <w:rPr>
          <w:rFonts w:ascii="Times New Roman" w:hAnsi="Times New Roman" w:cs="Times New Roman"/>
          <w:color w:val="000000" w:themeColor="text1"/>
          <w:sz w:val="20"/>
          <w:szCs w:val="20"/>
        </w:rPr>
        <w:t xml:space="preserve">, representando un aumento acumulado de más del </w:t>
      </w:r>
      <w:r w:rsidRPr="00C17008">
        <w:rPr>
          <w:rFonts w:ascii="Times New Roman" w:hAnsi="Times New Roman" w:cs="Times New Roman"/>
          <w:bCs/>
          <w:color w:val="000000" w:themeColor="text1"/>
          <w:sz w:val="20"/>
          <w:szCs w:val="20"/>
        </w:rPr>
        <w:t>30 %</w:t>
      </w:r>
      <w:r w:rsidRPr="00C17008">
        <w:rPr>
          <w:rFonts w:ascii="Times New Roman" w:hAnsi="Times New Roman" w:cs="Times New Roman"/>
          <w:color w:val="000000" w:themeColor="text1"/>
          <w:sz w:val="20"/>
          <w:szCs w:val="20"/>
        </w:rPr>
        <w:t>, el mercado comenzó a estabilizarse</w:t>
      </w:r>
      <w:r w:rsidRPr="000A56A7">
        <w:rPr>
          <w:rFonts w:ascii="Times New Roman" w:hAnsi="Times New Roman" w:cs="Times New Roman"/>
          <w:color w:val="000000" w:themeColor="text1"/>
          <w:sz w:val="20"/>
          <w:szCs w:val="20"/>
        </w:rPr>
        <w:t xml:space="preserve"> gracias a la normalización de las cadenas internacionales de suministro, la disminución del costo del gas natural y las políticas de intervención aplicadas por el Estado dominicano. </w:t>
      </w:r>
    </w:p>
    <w:p w14:paraId="41AD62A3" w14:textId="77777777" w:rsidR="001102DB" w:rsidRDefault="00D24A24" w:rsidP="001102DB">
      <w:pPr>
        <w:jc w:val="both"/>
        <w:rPr>
          <w:rFonts w:ascii="Times New Roman" w:eastAsia="Times New Roman" w:hAnsi="Times New Roman" w:cs="Times New Roman"/>
          <w:sz w:val="20"/>
          <w:szCs w:val="20"/>
        </w:rPr>
      </w:pPr>
      <w:r w:rsidRPr="000A56A7">
        <w:rPr>
          <w:rFonts w:ascii="Times New Roman" w:eastAsia="Times New Roman" w:hAnsi="Times New Roman" w:cs="Times New Roman"/>
          <w:sz w:val="20"/>
          <w:szCs w:val="20"/>
        </w:rPr>
        <w:t xml:space="preserve">Entre </w:t>
      </w:r>
      <w:r w:rsidRPr="00C17008">
        <w:rPr>
          <w:rFonts w:ascii="Times New Roman" w:eastAsia="Times New Roman" w:hAnsi="Times New Roman" w:cs="Times New Roman"/>
          <w:bCs/>
          <w:sz w:val="20"/>
          <w:szCs w:val="20"/>
        </w:rPr>
        <w:t>enero y junio de 2024</w:t>
      </w:r>
      <w:r w:rsidRPr="00C17008">
        <w:rPr>
          <w:rFonts w:ascii="Times New Roman" w:eastAsia="Times New Roman" w:hAnsi="Times New Roman" w:cs="Times New Roman"/>
          <w:sz w:val="20"/>
          <w:szCs w:val="20"/>
        </w:rPr>
        <w:t xml:space="preserve">, se observó una </w:t>
      </w:r>
      <w:r w:rsidRPr="00C17008">
        <w:rPr>
          <w:rFonts w:ascii="Times New Roman" w:eastAsia="Times New Roman" w:hAnsi="Times New Roman" w:cs="Times New Roman"/>
          <w:bCs/>
          <w:sz w:val="20"/>
          <w:szCs w:val="20"/>
        </w:rPr>
        <w:t>reducción promedio del 4.2 %</w:t>
      </w:r>
      <w:r w:rsidRPr="00C17008">
        <w:rPr>
          <w:rFonts w:ascii="Times New Roman" w:eastAsia="Times New Roman" w:hAnsi="Times New Roman" w:cs="Times New Roman"/>
          <w:sz w:val="20"/>
          <w:szCs w:val="20"/>
        </w:rPr>
        <w:t xml:space="preserve"> en los principales fertilizantes respecto a igual período del año anterior, mientras que en el primer semestre de </w:t>
      </w:r>
      <w:r w:rsidRPr="00C17008">
        <w:rPr>
          <w:rFonts w:ascii="Times New Roman" w:eastAsia="Times New Roman" w:hAnsi="Times New Roman" w:cs="Times New Roman"/>
          <w:bCs/>
          <w:sz w:val="20"/>
          <w:szCs w:val="20"/>
        </w:rPr>
        <w:t>2025</w:t>
      </w:r>
      <w:r w:rsidRPr="00C17008">
        <w:rPr>
          <w:rFonts w:ascii="Times New Roman" w:eastAsia="Times New Roman" w:hAnsi="Times New Roman" w:cs="Times New Roman"/>
          <w:sz w:val="20"/>
          <w:szCs w:val="20"/>
        </w:rPr>
        <w:t xml:space="preserve"> los precios</w:t>
      </w:r>
      <w:r w:rsidRPr="000A56A7">
        <w:rPr>
          <w:rFonts w:ascii="Times New Roman" w:eastAsia="Times New Roman" w:hAnsi="Times New Roman" w:cs="Times New Roman"/>
          <w:sz w:val="20"/>
          <w:szCs w:val="20"/>
        </w:rPr>
        <w:t xml:space="preserve"> nacionales mantuvieron una </w:t>
      </w:r>
      <w:r w:rsidRPr="00C17008">
        <w:rPr>
          <w:rFonts w:ascii="Times New Roman" w:eastAsia="Times New Roman" w:hAnsi="Times New Roman" w:cs="Times New Roman"/>
          <w:bCs/>
          <w:sz w:val="20"/>
          <w:szCs w:val="20"/>
        </w:rPr>
        <w:t>ligera tendencia a la baja</w:t>
      </w:r>
      <w:r w:rsidRPr="00C17008">
        <w:rPr>
          <w:rFonts w:ascii="Times New Roman" w:eastAsia="Times New Roman" w:hAnsi="Times New Roman" w:cs="Times New Roman"/>
          <w:sz w:val="20"/>
          <w:szCs w:val="20"/>
        </w:rPr>
        <w:t xml:space="preserve">, con variaciones de entre </w:t>
      </w:r>
      <w:r w:rsidRPr="00C17008">
        <w:rPr>
          <w:rFonts w:ascii="Times New Roman" w:eastAsia="Times New Roman" w:hAnsi="Times New Roman" w:cs="Times New Roman"/>
          <w:bCs/>
          <w:sz w:val="20"/>
          <w:szCs w:val="20"/>
        </w:rPr>
        <w:t>–2% y –5%</w:t>
      </w:r>
      <w:r w:rsidRPr="00C17008">
        <w:rPr>
          <w:rFonts w:ascii="Times New Roman" w:eastAsia="Times New Roman" w:hAnsi="Times New Roman" w:cs="Times New Roman"/>
          <w:sz w:val="20"/>
          <w:szCs w:val="20"/>
        </w:rPr>
        <w:t>, d</w:t>
      </w:r>
      <w:r w:rsidR="001102DB">
        <w:rPr>
          <w:rFonts w:ascii="Times New Roman" w:eastAsia="Times New Roman" w:hAnsi="Times New Roman" w:cs="Times New Roman"/>
          <w:sz w:val="20"/>
          <w:szCs w:val="20"/>
        </w:rPr>
        <w:t>ependiendo del tipo de producto.</w:t>
      </w:r>
    </w:p>
    <w:p w14:paraId="468BD414" w14:textId="1A92429A" w:rsidR="00D24A24" w:rsidRPr="001102DB" w:rsidRDefault="001102DB" w:rsidP="001102DB">
      <w:pPr>
        <w:jc w:val="both"/>
        <w:rPr>
          <w:rFonts w:ascii="Times New Roman" w:eastAsia="Times New Roman" w:hAnsi="Times New Roman" w:cs="Times New Roman"/>
          <w:sz w:val="20"/>
          <w:szCs w:val="20"/>
        </w:rPr>
      </w:pPr>
      <w:r w:rsidRPr="001102DB">
        <w:rPr>
          <w:rFonts w:ascii="Times New Roman" w:eastAsia="Times New Roman" w:hAnsi="Times New Roman" w:cs="Times New Roman"/>
          <w:sz w:val="20"/>
          <w:szCs w:val="20"/>
        </w:rPr>
        <w:t xml:space="preserve">Por ejemplo, el precio promedio de la </w:t>
      </w:r>
      <w:r w:rsidR="00000A68">
        <w:rPr>
          <w:rFonts w:ascii="Times New Roman" w:eastAsia="Times New Roman" w:hAnsi="Times New Roman" w:cs="Times New Roman"/>
          <w:sz w:val="20"/>
          <w:szCs w:val="20"/>
        </w:rPr>
        <w:t xml:space="preserve">                             </w:t>
      </w:r>
      <w:r w:rsidRPr="001102DB">
        <w:rPr>
          <w:rFonts w:ascii="Times New Roman" w:eastAsia="Times New Roman" w:hAnsi="Times New Roman" w:cs="Times New Roman"/>
          <w:sz w:val="20"/>
          <w:szCs w:val="20"/>
        </w:rPr>
        <w:t>Urea (46-0-0) pasó de RD$1,880.11/qq en 2024 a RD$2,114.25/qq en 2025, lo que repre</w:t>
      </w:r>
      <w:r>
        <w:rPr>
          <w:rFonts w:ascii="Times New Roman" w:eastAsia="Times New Roman" w:hAnsi="Times New Roman" w:cs="Times New Roman"/>
          <w:sz w:val="20"/>
          <w:szCs w:val="20"/>
        </w:rPr>
        <w:t xml:space="preserve">senta un incremento de 12.45 %. </w:t>
      </w:r>
      <w:r w:rsidRPr="001102DB">
        <w:rPr>
          <w:rFonts w:ascii="Times New Roman" w:eastAsia="Times New Roman" w:hAnsi="Times New Roman" w:cs="Times New Roman"/>
          <w:sz w:val="20"/>
          <w:szCs w:val="20"/>
        </w:rPr>
        <w:t>De igual forma, el Sulfato de Amonio mostró una ligera disminución de 2.51%, al descender de R</w:t>
      </w:r>
      <w:r>
        <w:rPr>
          <w:rFonts w:ascii="Times New Roman" w:eastAsia="Times New Roman" w:hAnsi="Times New Roman" w:cs="Times New Roman"/>
          <w:sz w:val="20"/>
          <w:szCs w:val="20"/>
        </w:rPr>
        <w:t xml:space="preserve">D$1,383.25/qq a RD$1,348.52/qq. </w:t>
      </w:r>
      <w:r w:rsidR="00000A68">
        <w:rPr>
          <w:rFonts w:ascii="Times New Roman" w:eastAsia="Times New Roman" w:hAnsi="Times New Roman" w:cs="Times New Roman"/>
          <w:sz w:val="20"/>
          <w:szCs w:val="20"/>
        </w:rPr>
        <w:t xml:space="preserve"> </w:t>
      </w:r>
      <w:r w:rsidRPr="001102DB">
        <w:rPr>
          <w:rFonts w:ascii="Times New Roman" w:eastAsia="Times New Roman" w:hAnsi="Times New Roman" w:cs="Times New Roman"/>
          <w:sz w:val="20"/>
          <w:szCs w:val="20"/>
        </w:rPr>
        <w:t>En cuanto al Superfosfato Triple (0-46-0), registró un aumento de 8.64 %, al pasar de RD$2,132.16/qq en</w:t>
      </w:r>
      <w:r>
        <w:rPr>
          <w:rFonts w:ascii="Times New Roman" w:eastAsia="Times New Roman" w:hAnsi="Times New Roman" w:cs="Times New Roman"/>
          <w:sz w:val="20"/>
          <w:szCs w:val="20"/>
        </w:rPr>
        <w:t xml:space="preserve"> 2024 a RD$2,316.42/qq en 2025. </w:t>
      </w:r>
      <w:r w:rsidR="00000A68">
        <w:rPr>
          <w:rFonts w:ascii="Times New Roman" w:eastAsia="Times New Roman" w:hAnsi="Times New Roman" w:cs="Times New Roman"/>
          <w:sz w:val="20"/>
          <w:szCs w:val="20"/>
        </w:rPr>
        <w:t xml:space="preserve"> </w:t>
      </w:r>
      <w:r w:rsidRPr="001102DB">
        <w:rPr>
          <w:rFonts w:ascii="Times New Roman" w:eastAsia="Times New Roman" w:hAnsi="Times New Roman" w:cs="Times New Roman"/>
          <w:sz w:val="20"/>
          <w:szCs w:val="20"/>
        </w:rPr>
        <w:t>Por su parte, el Sulfato de Potasio (MOP) presentó una disminución significativa de 22.09 %, con un precio promedio de RD$2,264.74/qq durante el primer semestre de 2025.</w:t>
      </w:r>
    </w:p>
    <w:p w14:paraId="6E833472" w14:textId="766CC9EF" w:rsidR="00D24A24" w:rsidRPr="000A56A7" w:rsidRDefault="00D24A24" w:rsidP="00D24A24">
      <w:pPr>
        <w:jc w:val="both"/>
        <w:rPr>
          <w:rFonts w:ascii="Times New Roman" w:hAnsi="Times New Roman" w:cs="Times New Roman"/>
          <w:color w:val="000000" w:themeColor="text1"/>
          <w:sz w:val="20"/>
          <w:szCs w:val="20"/>
        </w:rPr>
      </w:pPr>
      <w:r w:rsidRPr="000A56A7">
        <w:rPr>
          <w:rFonts w:ascii="Times New Roman" w:eastAsia="Times New Roman" w:hAnsi="Times New Roman" w:cs="Times New Roman"/>
          <w:sz w:val="20"/>
          <w:szCs w:val="20"/>
        </w:rPr>
        <w:lastRenderedPageBreak/>
        <w:t>Varios factores contribuyeron a la estabilización y leve reducción de los precios nacionales de los fertilizantes:</w:t>
      </w:r>
    </w:p>
    <w:p w14:paraId="4D574A9F" w14:textId="5B70E0B4" w:rsidR="00D24A24" w:rsidRPr="000A56A7" w:rsidRDefault="00D24A24" w:rsidP="00D24A24">
      <w:pPr>
        <w:pStyle w:val="Prrafodelista"/>
        <w:numPr>
          <w:ilvl w:val="0"/>
          <w:numId w:val="9"/>
        </w:numPr>
        <w:jc w:val="both"/>
        <w:rPr>
          <w:rFonts w:ascii="Times New Roman" w:hAnsi="Times New Roman" w:cs="Times New Roman"/>
          <w:color w:val="000000" w:themeColor="text1"/>
          <w:sz w:val="20"/>
          <w:szCs w:val="20"/>
        </w:rPr>
      </w:pPr>
      <w:r w:rsidRPr="000A56A7">
        <w:rPr>
          <w:rFonts w:ascii="Times New Roman" w:hAnsi="Times New Roman" w:cs="Times New Roman"/>
          <w:b/>
          <w:bCs/>
          <w:color w:val="000000" w:themeColor="text1"/>
          <w:sz w:val="20"/>
          <w:szCs w:val="20"/>
        </w:rPr>
        <w:t>Mercado internacional:</w:t>
      </w:r>
      <w:r w:rsidRPr="000A56A7">
        <w:rPr>
          <w:rFonts w:ascii="Times New Roman" w:hAnsi="Times New Roman" w:cs="Times New Roman"/>
          <w:color w:val="000000" w:themeColor="text1"/>
          <w:sz w:val="20"/>
          <w:szCs w:val="20"/>
        </w:rPr>
        <w:t xml:space="preserve"> la baja en los precios globales de materias primas como el gas natural, la potasa y el amoníaco redujo los costos de producción y transporte.</w:t>
      </w:r>
    </w:p>
    <w:p w14:paraId="037533B8" w14:textId="77777777" w:rsidR="00D24A24" w:rsidRPr="000A56A7" w:rsidRDefault="00D24A24" w:rsidP="00D24A24">
      <w:pPr>
        <w:pStyle w:val="Prrafodelista"/>
        <w:numPr>
          <w:ilvl w:val="0"/>
          <w:numId w:val="9"/>
        </w:numPr>
        <w:jc w:val="both"/>
        <w:rPr>
          <w:rFonts w:ascii="Times New Roman" w:hAnsi="Times New Roman" w:cs="Times New Roman"/>
          <w:color w:val="000000" w:themeColor="text1"/>
          <w:sz w:val="20"/>
          <w:szCs w:val="20"/>
        </w:rPr>
      </w:pPr>
      <w:r w:rsidRPr="000A56A7">
        <w:rPr>
          <w:rFonts w:ascii="Times New Roman" w:hAnsi="Times New Roman" w:cs="Times New Roman"/>
          <w:b/>
          <w:bCs/>
          <w:color w:val="000000" w:themeColor="text1"/>
          <w:sz w:val="20"/>
          <w:szCs w:val="20"/>
        </w:rPr>
        <w:t>Demanda global moderada:</w:t>
      </w:r>
      <w:r w:rsidRPr="000A56A7">
        <w:rPr>
          <w:rFonts w:ascii="Times New Roman" w:hAnsi="Times New Roman" w:cs="Times New Roman"/>
          <w:color w:val="000000" w:themeColor="text1"/>
          <w:sz w:val="20"/>
          <w:szCs w:val="20"/>
        </w:rPr>
        <w:t xml:space="preserve"> la desaceleración en la demanda de fertilizantes en Asia y América Latina ayudó a estabilizar las cotizaciones internacionales.</w:t>
      </w:r>
    </w:p>
    <w:p w14:paraId="47857909" w14:textId="77777777" w:rsidR="00D24A24" w:rsidRPr="000A56A7" w:rsidRDefault="00D24A24" w:rsidP="00D24A24">
      <w:pPr>
        <w:pStyle w:val="Prrafodelista"/>
        <w:numPr>
          <w:ilvl w:val="0"/>
          <w:numId w:val="9"/>
        </w:numPr>
        <w:jc w:val="both"/>
        <w:rPr>
          <w:rFonts w:ascii="Times New Roman" w:hAnsi="Times New Roman" w:cs="Times New Roman"/>
          <w:color w:val="000000" w:themeColor="text1"/>
          <w:sz w:val="20"/>
          <w:szCs w:val="20"/>
        </w:rPr>
      </w:pPr>
      <w:r w:rsidRPr="000A56A7">
        <w:rPr>
          <w:rFonts w:ascii="Times New Roman" w:hAnsi="Times New Roman" w:cs="Times New Roman"/>
          <w:b/>
          <w:bCs/>
          <w:color w:val="000000" w:themeColor="text1"/>
          <w:sz w:val="20"/>
          <w:szCs w:val="20"/>
        </w:rPr>
        <w:t>Medidas gubernamentales:</w:t>
      </w:r>
      <w:r w:rsidRPr="000A56A7">
        <w:rPr>
          <w:rFonts w:ascii="Times New Roman" w:hAnsi="Times New Roman" w:cs="Times New Roman"/>
          <w:color w:val="000000" w:themeColor="text1"/>
          <w:sz w:val="20"/>
          <w:szCs w:val="20"/>
        </w:rPr>
        <w:t xml:space="preserve"> el Gobierno dominicano mantuvo los programas de subsidios y el fondo de estabilización de precios, lo que permitió amortiguar las fluctuaciones externas y sostener los niveles de rentabilidad de los productores nacionales.</w:t>
      </w:r>
    </w:p>
    <w:p w14:paraId="342DD943" w14:textId="77777777" w:rsidR="00D24A24" w:rsidRPr="000A56A7" w:rsidRDefault="00D24A24" w:rsidP="00000A68">
      <w:pPr>
        <w:ind w:left="142"/>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 xml:space="preserve">El Gobierno de la República Dominicana ha adoptado </w:t>
      </w:r>
      <w:r w:rsidRPr="00C17008">
        <w:rPr>
          <w:rFonts w:ascii="Times New Roman" w:hAnsi="Times New Roman" w:cs="Times New Roman"/>
          <w:color w:val="000000" w:themeColor="text1"/>
          <w:sz w:val="20"/>
          <w:szCs w:val="20"/>
        </w:rPr>
        <w:t xml:space="preserve">diversas </w:t>
      </w:r>
      <w:r w:rsidRPr="00C17008">
        <w:rPr>
          <w:rFonts w:ascii="Times New Roman" w:hAnsi="Times New Roman" w:cs="Times New Roman"/>
          <w:bCs/>
          <w:color w:val="000000" w:themeColor="text1"/>
          <w:sz w:val="20"/>
          <w:szCs w:val="20"/>
        </w:rPr>
        <w:t>acciones de política pública</w:t>
      </w:r>
      <w:r w:rsidRPr="00C17008">
        <w:rPr>
          <w:rFonts w:ascii="Times New Roman" w:hAnsi="Times New Roman" w:cs="Times New Roman"/>
          <w:color w:val="000000" w:themeColor="text1"/>
          <w:sz w:val="20"/>
          <w:szCs w:val="20"/>
        </w:rPr>
        <w:t xml:space="preserve"> para garantizar la disponibilidad</w:t>
      </w:r>
      <w:r w:rsidRPr="000A56A7">
        <w:rPr>
          <w:rFonts w:ascii="Times New Roman" w:hAnsi="Times New Roman" w:cs="Times New Roman"/>
          <w:color w:val="000000" w:themeColor="text1"/>
          <w:sz w:val="20"/>
          <w:szCs w:val="20"/>
        </w:rPr>
        <w:t xml:space="preserve"> y asequibilidad de los fertilizantes, entre ellas: </w:t>
      </w:r>
    </w:p>
    <w:p w14:paraId="202A1614" w14:textId="77777777" w:rsidR="00D24A24" w:rsidRPr="000A56A7" w:rsidRDefault="00D24A24" w:rsidP="00000A68">
      <w:pPr>
        <w:pStyle w:val="Prrafodelista"/>
        <w:numPr>
          <w:ilvl w:val="0"/>
          <w:numId w:val="10"/>
        </w:numPr>
        <w:spacing w:after="120"/>
        <w:jc w:val="both"/>
        <w:rPr>
          <w:rFonts w:ascii="Times New Roman" w:hAnsi="Times New Roman" w:cs="Times New Roman"/>
          <w:bCs/>
          <w:color w:val="000000" w:themeColor="text1"/>
          <w:sz w:val="20"/>
          <w:szCs w:val="20"/>
        </w:rPr>
      </w:pPr>
      <w:r w:rsidRPr="000A56A7">
        <w:rPr>
          <w:rFonts w:ascii="Times New Roman" w:hAnsi="Times New Roman" w:cs="Times New Roman"/>
          <w:b/>
          <w:bCs/>
          <w:color w:val="000000" w:themeColor="text1"/>
          <w:sz w:val="20"/>
          <w:szCs w:val="20"/>
        </w:rPr>
        <w:t>Subsidios directos:</w:t>
      </w:r>
      <w:r w:rsidRPr="000A56A7">
        <w:rPr>
          <w:rFonts w:ascii="Times New Roman" w:hAnsi="Times New Roman" w:cs="Times New Roman"/>
          <w:b/>
          <w:color w:val="000000" w:themeColor="text1"/>
          <w:sz w:val="20"/>
          <w:szCs w:val="20"/>
        </w:rPr>
        <w:t xml:space="preserve"> </w:t>
      </w:r>
      <w:r w:rsidRPr="000A56A7">
        <w:rPr>
          <w:rFonts w:ascii="Times New Roman" w:hAnsi="Times New Roman" w:cs="Times New Roman"/>
          <w:bCs/>
          <w:color w:val="000000" w:themeColor="text1"/>
          <w:sz w:val="20"/>
          <w:szCs w:val="20"/>
        </w:rPr>
        <w:t>se han destinado más de RD$5,000 millones para mantener los precios por debajo de sus valores de referencia internacionales, beneficiando directamente a productores de todos los rubros agrícolas.</w:t>
      </w:r>
    </w:p>
    <w:p w14:paraId="338BA2E1" w14:textId="77777777" w:rsidR="00D24A24" w:rsidRPr="000A56A7" w:rsidRDefault="00D24A24" w:rsidP="00000A68">
      <w:pPr>
        <w:pStyle w:val="Prrafodelista"/>
        <w:numPr>
          <w:ilvl w:val="0"/>
          <w:numId w:val="10"/>
        </w:numPr>
        <w:spacing w:after="120"/>
        <w:jc w:val="both"/>
        <w:rPr>
          <w:rFonts w:ascii="Times New Roman" w:hAnsi="Times New Roman" w:cs="Times New Roman"/>
          <w:bCs/>
          <w:color w:val="000000" w:themeColor="text1"/>
          <w:sz w:val="20"/>
          <w:szCs w:val="20"/>
        </w:rPr>
      </w:pPr>
      <w:r w:rsidRPr="000A56A7">
        <w:rPr>
          <w:rFonts w:ascii="Times New Roman" w:hAnsi="Times New Roman" w:cs="Times New Roman"/>
          <w:b/>
          <w:bCs/>
          <w:color w:val="000000" w:themeColor="text1"/>
          <w:sz w:val="20"/>
          <w:szCs w:val="20"/>
        </w:rPr>
        <w:t>Fondo especial de estabilización:</w:t>
      </w:r>
      <w:r w:rsidRPr="000A56A7">
        <w:rPr>
          <w:rFonts w:ascii="Times New Roman" w:hAnsi="Times New Roman" w:cs="Times New Roman"/>
          <w:b/>
          <w:color w:val="000000" w:themeColor="text1"/>
          <w:sz w:val="20"/>
          <w:szCs w:val="20"/>
        </w:rPr>
        <w:t xml:space="preserve"> </w:t>
      </w:r>
      <w:r w:rsidRPr="000A56A7">
        <w:rPr>
          <w:rFonts w:ascii="Times New Roman" w:hAnsi="Times New Roman" w:cs="Times New Roman"/>
          <w:bCs/>
          <w:color w:val="000000" w:themeColor="text1"/>
          <w:sz w:val="20"/>
          <w:szCs w:val="20"/>
        </w:rPr>
        <w:t>un fondo de alrededor de RD$1,600 millones continúa activo para compensar variaciones abruptas en los costos de importación y transporte.</w:t>
      </w:r>
    </w:p>
    <w:p w14:paraId="2E5C6B9A" w14:textId="156735E7" w:rsidR="00D24A24" w:rsidRPr="000A56A7" w:rsidRDefault="00D24A24" w:rsidP="00000A68">
      <w:pPr>
        <w:pStyle w:val="Prrafodelista"/>
        <w:numPr>
          <w:ilvl w:val="0"/>
          <w:numId w:val="10"/>
        </w:numPr>
        <w:spacing w:after="120"/>
        <w:jc w:val="both"/>
        <w:rPr>
          <w:rFonts w:ascii="Times New Roman" w:hAnsi="Times New Roman" w:cs="Times New Roman"/>
          <w:bCs/>
          <w:color w:val="000000" w:themeColor="text1"/>
          <w:sz w:val="20"/>
          <w:szCs w:val="20"/>
        </w:rPr>
      </w:pPr>
      <w:r w:rsidRPr="000A56A7">
        <w:rPr>
          <w:rFonts w:ascii="Times New Roman" w:hAnsi="Times New Roman" w:cs="Times New Roman"/>
          <w:b/>
          <w:color w:val="000000" w:themeColor="text1"/>
          <w:sz w:val="20"/>
          <w:szCs w:val="20"/>
        </w:rPr>
        <w:t xml:space="preserve"> </w:t>
      </w:r>
      <w:r w:rsidRPr="000A56A7">
        <w:rPr>
          <w:rFonts w:ascii="Times New Roman" w:hAnsi="Times New Roman" w:cs="Times New Roman"/>
          <w:b/>
          <w:bCs/>
          <w:color w:val="000000" w:themeColor="text1"/>
          <w:sz w:val="20"/>
          <w:szCs w:val="20"/>
        </w:rPr>
        <w:t>Apoyo integral a productores:</w:t>
      </w:r>
      <w:r w:rsidRPr="000A56A7">
        <w:rPr>
          <w:rFonts w:ascii="Times New Roman" w:hAnsi="Times New Roman" w:cs="Times New Roman"/>
          <w:b/>
          <w:color w:val="000000" w:themeColor="text1"/>
          <w:sz w:val="20"/>
          <w:szCs w:val="20"/>
        </w:rPr>
        <w:t xml:space="preserve"> </w:t>
      </w:r>
      <w:r w:rsidRPr="000A56A7">
        <w:rPr>
          <w:rFonts w:ascii="Times New Roman" w:hAnsi="Times New Roman" w:cs="Times New Roman"/>
          <w:bCs/>
          <w:color w:val="000000" w:themeColor="text1"/>
          <w:sz w:val="20"/>
          <w:szCs w:val="20"/>
        </w:rPr>
        <w:t>además del subsidio económico, el Ministerio de Agricultura ha fortalecido la asistencia técnica, la preparación de terrenos y el acceso a créditos a tasa cero mediante el Banco Agrícola, promoviendo así una producción agrícola más resiliente y competitiva.</w:t>
      </w:r>
    </w:p>
    <w:p w14:paraId="5F1D237C" w14:textId="77A4D87A" w:rsidR="00D24A24" w:rsidRDefault="00D24A24" w:rsidP="00000A68">
      <w:pPr>
        <w:spacing w:after="120"/>
        <w:jc w:val="both"/>
        <w:rPr>
          <w:rFonts w:ascii="Times New Roman" w:hAnsi="Times New Roman" w:cs="Times New Roman"/>
          <w:bCs/>
          <w:color w:val="000000" w:themeColor="text1"/>
          <w:sz w:val="20"/>
          <w:szCs w:val="20"/>
        </w:rPr>
      </w:pPr>
      <w:r w:rsidRPr="000A56A7">
        <w:rPr>
          <w:rFonts w:ascii="Times New Roman" w:hAnsi="Times New Roman" w:cs="Times New Roman"/>
          <w:bCs/>
          <w:color w:val="000000" w:themeColor="text1"/>
          <w:sz w:val="20"/>
          <w:szCs w:val="20"/>
        </w:rPr>
        <w:t xml:space="preserve">El mercado nacional de fertilizantes entre 2024 y 2025 muestra una </w:t>
      </w:r>
      <w:r w:rsidRPr="00C17008">
        <w:rPr>
          <w:rFonts w:ascii="Times New Roman" w:hAnsi="Times New Roman" w:cs="Times New Roman"/>
          <w:bCs/>
          <w:color w:val="000000" w:themeColor="text1"/>
          <w:sz w:val="20"/>
          <w:szCs w:val="20"/>
        </w:rPr>
        <w:t>recuperación sostenida</w:t>
      </w:r>
      <w:r w:rsidRPr="000A56A7">
        <w:rPr>
          <w:rFonts w:ascii="Times New Roman" w:hAnsi="Times New Roman" w:cs="Times New Roman"/>
          <w:bCs/>
          <w:color w:val="000000" w:themeColor="text1"/>
          <w:sz w:val="20"/>
          <w:szCs w:val="20"/>
        </w:rPr>
        <w:t>, con precios estables, disponibilidad constante de insumos y una coordinación efectiva entre las políticas públicas y las condiciones internacionales del mercado.</w:t>
      </w:r>
    </w:p>
    <w:p w14:paraId="0A11AEB1" w14:textId="640C1C7D" w:rsidR="00000A68" w:rsidRDefault="00000A68" w:rsidP="00D24A24">
      <w:pPr>
        <w:spacing w:after="120"/>
        <w:rPr>
          <w:rFonts w:ascii="Times New Roman" w:hAnsi="Times New Roman" w:cs="Times New Roman"/>
          <w:bCs/>
          <w:color w:val="000000" w:themeColor="text1"/>
          <w:sz w:val="20"/>
          <w:szCs w:val="20"/>
        </w:rPr>
      </w:pPr>
    </w:p>
    <w:p w14:paraId="3FADE1B2" w14:textId="77777777" w:rsidR="00000A68" w:rsidRDefault="00000A68" w:rsidP="00D24A24">
      <w:pPr>
        <w:spacing w:after="120"/>
        <w:rPr>
          <w:rFonts w:ascii="Times New Roman" w:hAnsi="Times New Roman" w:cs="Times New Roman"/>
          <w:bCs/>
          <w:color w:val="000000" w:themeColor="text1"/>
          <w:sz w:val="20"/>
          <w:szCs w:val="20"/>
        </w:rPr>
      </w:pPr>
    </w:p>
    <w:p w14:paraId="156E11FB" w14:textId="77777777" w:rsidR="00000A68" w:rsidRPr="000A56A7" w:rsidRDefault="00000A68" w:rsidP="00D24A24">
      <w:pPr>
        <w:spacing w:after="120"/>
        <w:rPr>
          <w:rFonts w:ascii="Times New Roman" w:hAnsi="Times New Roman" w:cs="Times New Roman"/>
          <w:bCs/>
          <w:color w:val="000000" w:themeColor="text1"/>
          <w:sz w:val="20"/>
          <w:szCs w:val="20"/>
        </w:rPr>
      </w:pPr>
    </w:p>
    <w:p w14:paraId="3BA65E9D" w14:textId="78FFFF8F" w:rsidR="00D544CC" w:rsidRPr="000A56A7" w:rsidRDefault="006F30C3" w:rsidP="00E63195">
      <w:pPr>
        <w:spacing w:after="120"/>
        <w:rPr>
          <w:rFonts w:ascii="Times New Roman" w:hAnsi="Times New Roman" w:cs="Times New Roman"/>
          <w:b/>
          <w:bCs/>
          <w:color w:val="002060"/>
          <w:sz w:val="20"/>
          <w:szCs w:val="20"/>
        </w:rPr>
      </w:pPr>
      <w:r w:rsidRPr="000A56A7">
        <w:rPr>
          <w:rFonts w:ascii="Times New Roman" w:hAnsi="Times New Roman" w:cs="Times New Roman"/>
          <w:b/>
          <w:bCs/>
          <w:color w:val="002060"/>
          <w:sz w:val="20"/>
          <w:szCs w:val="20"/>
        </w:rPr>
        <w:t>Precios Promedios de Fertilizantes</w:t>
      </w:r>
      <w:r w:rsidR="0026205D" w:rsidRPr="000A56A7">
        <w:rPr>
          <w:rFonts w:ascii="Times New Roman" w:hAnsi="Times New Roman" w:cs="Times New Roman"/>
          <w:b/>
          <w:bCs/>
          <w:color w:val="002060"/>
          <w:sz w:val="20"/>
          <w:szCs w:val="20"/>
        </w:rPr>
        <w:t xml:space="preserve"> en República Dominicana</w:t>
      </w:r>
      <w:r w:rsidR="000C02C2" w:rsidRPr="000A56A7">
        <w:rPr>
          <w:rFonts w:ascii="Times New Roman" w:hAnsi="Times New Roman" w:cs="Times New Roman"/>
          <w:b/>
          <w:bCs/>
          <w:color w:val="002060"/>
          <w:sz w:val="20"/>
          <w:szCs w:val="20"/>
        </w:rPr>
        <w:t xml:space="preserve">, </w:t>
      </w:r>
      <w:r w:rsidR="003C09E4">
        <w:rPr>
          <w:rFonts w:ascii="Times New Roman" w:hAnsi="Times New Roman" w:cs="Times New Roman"/>
          <w:b/>
          <w:bCs/>
          <w:color w:val="002060"/>
          <w:sz w:val="20"/>
          <w:szCs w:val="20"/>
        </w:rPr>
        <w:t>(2024-2025</w:t>
      </w:r>
      <w:r w:rsidR="003540CF" w:rsidRPr="000A56A7">
        <w:rPr>
          <w:rFonts w:ascii="Times New Roman" w:hAnsi="Times New Roman" w:cs="Times New Roman"/>
          <w:b/>
          <w:bCs/>
          <w:color w:val="002060"/>
          <w:sz w:val="20"/>
          <w:szCs w:val="20"/>
        </w:rPr>
        <w:t>)</w:t>
      </w:r>
    </w:p>
    <w:p w14:paraId="52454905" w14:textId="7E6DCEA5" w:rsidR="00D550B5" w:rsidRPr="000A56A7" w:rsidRDefault="00000A68" w:rsidP="00D544CC">
      <w:pPr>
        <w:spacing w:after="0"/>
        <w:jc w:val="center"/>
        <w:rPr>
          <w:rFonts w:ascii="Times New Roman" w:hAnsi="Times New Roman" w:cs="Times New Roman"/>
          <w:noProof/>
          <w:sz w:val="20"/>
          <w:szCs w:val="20"/>
        </w:rPr>
      </w:pPr>
      <w:r>
        <w:rPr>
          <w:noProof/>
        </w:rPr>
        <w:drawing>
          <wp:inline distT="0" distB="0" distL="0" distR="0" wp14:anchorId="559D8235" wp14:editId="414A1F73">
            <wp:extent cx="2476500" cy="2085975"/>
            <wp:effectExtent l="0" t="0" r="0" b="9525"/>
            <wp:docPr id="7" name="Chart 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425C0A" w14:textId="3BD88455" w:rsidR="00525F86" w:rsidRPr="00B97631" w:rsidRDefault="00E63195" w:rsidP="00000A68">
      <w:pPr>
        <w:spacing w:after="0"/>
        <w:jc w:val="both"/>
        <w:rPr>
          <w:rFonts w:ascii="Times New Roman" w:hAnsi="Times New Roman" w:cs="Times New Roman"/>
          <w:sz w:val="16"/>
          <w:szCs w:val="16"/>
        </w:rPr>
      </w:pPr>
      <w:r w:rsidRPr="000A56A7">
        <w:rPr>
          <w:rFonts w:ascii="Times New Roman" w:hAnsi="Times New Roman" w:cs="Times New Roman"/>
          <w:b/>
          <w:bCs/>
          <w:sz w:val="20"/>
          <w:szCs w:val="20"/>
        </w:rPr>
        <w:t xml:space="preserve"> </w:t>
      </w:r>
      <w:r w:rsidR="00C77D69" w:rsidRPr="00B97631">
        <w:rPr>
          <w:rFonts w:ascii="Times New Roman" w:hAnsi="Times New Roman" w:cs="Times New Roman"/>
          <w:b/>
          <w:sz w:val="16"/>
          <w:szCs w:val="16"/>
        </w:rPr>
        <w:t>Fuente</w:t>
      </w:r>
      <w:r w:rsidR="00C77D69" w:rsidRPr="00B97631">
        <w:rPr>
          <w:rFonts w:ascii="Times New Roman" w:hAnsi="Times New Roman" w:cs="Times New Roman"/>
          <w:sz w:val="16"/>
          <w:szCs w:val="16"/>
        </w:rPr>
        <w:t xml:space="preserve">: </w:t>
      </w:r>
      <w:r w:rsidR="006F30C3" w:rsidRPr="00B97631">
        <w:rPr>
          <w:rFonts w:ascii="Times New Roman" w:hAnsi="Times New Roman" w:cs="Times New Roman"/>
          <w:sz w:val="16"/>
          <w:szCs w:val="16"/>
        </w:rPr>
        <w:t>Ministerio de Agricultura</w:t>
      </w:r>
      <w:r w:rsidR="00D550B5" w:rsidRPr="00B97631">
        <w:rPr>
          <w:rFonts w:ascii="Times New Roman" w:hAnsi="Times New Roman" w:cs="Times New Roman"/>
          <w:sz w:val="16"/>
          <w:szCs w:val="16"/>
        </w:rPr>
        <w:t xml:space="preserve">, Dpto. </w:t>
      </w:r>
      <w:r w:rsidRPr="00B97631">
        <w:rPr>
          <w:rFonts w:ascii="Times New Roman" w:hAnsi="Times New Roman" w:cs="Times New Roman"/>
          <w:sz w:val="16"/>
          <w:szCs w:val="16"/>
        </w:rPr>
        <w:t xml:space="preserve"> </w:t>
      </w:r>
      <w:r w:rsidR="00D550B5" w:rsidRPr="00B97631">
        <w:rPr>
          <w:rFonts w:ascii="Times New Roman" w:hAnsi="Times New Roman" w:cs="Times New Roman"/>
          <w:sz w:val="16"/>
          <w:szCs w:val="16"/>
        </w:rPr>
        <w:t>Economía A</w:t>
      </w:r>
      <w:r w:rsidR="00C17008" w:rsidRPr="00B97631">
        <w:rPr>
          <w:rFonts w:ascii="Times New Roman" w:hAnsi="Times New Roman" w:cs="Times New Roman"/>
          <w:sz w:val="16"/>
          <w:szCs w:val="16"/>
        </w:rPr>
        <w:t>gropecuaria y Estadísticas. 2025</w:t>
      </w:r>
      <w:r w:rsidR="00512B6A" w:rsidRPr="00B97631">
        <w:rPr>
          <w:rFonts w:ascii="Times New Roman" w:hAnsi="Times New Roman" w:cs="Times New Roman"/>
          <w:sz w:val="16"/>
          <w:szCs w:val="16"/>
        </w:rPr>
        <w:t>.</w:t>
      </w:r>
      <w:r w:rsidR="00FC1D12" w:rsidRPr="00B97631">
        <w:rPr>
          <w:rFonts w:ascii="Times New Roman" w:hAnsi="Times New Roman" w:cs="Times New Roman"/>
          <w:sz w:val="16"/>
          <w:szCs w:val="16"/>
        </w:rPr>
        <w:t xml:space="preserve">  </w:t>
      </w:r>
      <w:r w:rsidR="00525F86" w:rsidRPr="00B97631">
        <w:rPr>
          <w:rFonts w:ascii="Times New Roman" w:hAnsi="Times New Roman" w:cs="Times New Roman"/>
          <w:sz w:val="16"/>
          <w:szCs w:val="16"/>
        </w:rPr>
        <w:t>Elaborado en la División de Captura y Análisis de Prec</w:t>
      </w:r>
      <w:r w:rsidR="00DD470D" w:rsidRPr="00B97631">
        <w:rPr>
          <w:rFonts w:ascii="Times New Roman" w:hAnsi="Times New Roman" w:cs="Times New Roman"/>
          <w:sz w:val="16"/>
          <w:szCs w:val="16"/>
        </w:rPr>
        <w:t>ios de Productos Agropecuarios.</w:t>
      </w:r>
    </w:p>
    <w:p w14:paraId="4BC19C34" w14:textId="77777777" w:rsidR="007B5D67" w:rsidRPr="000A56A7" w:rsidRDefault="007B5D67" w:rsidP="00E63195">
      <w:pPr>
        <w:spacing w:after="0"/>
        <w:rPr>
          <w:rFonts w:ascii="Times New Roman" w:hAnsi="Times New Roman" w:cs="Times New Roman"/>
          <w:sz w:val="20"/>
          <w:szCs w:val="20"/>
        </w:rPr>
      </w:pPr>
    </w:p>
    <w:p w14:paraId="656EA763" w14:textId="77777777" w:rsidR="00F11F16" w:rsidRPr="00C17008" w:rsidRDefault="00F11F16" w:rsidP="00C21042">
      <w:pPr>
        <w:jc w:val="both"/>
        <w:rPr>
          <w:rFonts w:ascii="Times New Roman" w:hAnsi="Times New Roman" w:cs="Times New Roman"/>
          <w:sz w:val="20"/>
          <w:szCs w:val="20"/>
        </w:rPr>
      </w:pPr>
      <w:r w:rsidRPr="000A56A7">
        <w:rPr>
          <w:rFonts w:ascii="Times New Roman" w:hAnsi="Times New Roman" w:cs="Times New Roman"/>
          <w:sz w:val="20"/>
          <w:szCs w:val="20"/>
        </w:rPr>
        <w:t xml:space="preserve">Durante el </w:t>
      </w:r>
      <w:r w:rsidRPr="00C17008">
        <w:rPr>
          <w:rFonts w:ascii="Times New Roman" w:hAnsi="Times New Roman" w:cs="Times New Roman"/>
          <w:sz w:val="20"/>
          <w:szCs w:val="20"/>
        </w:rPr>
        <w:t xml:space="preserve">período </w:t>
      </w:r>
      <w:r w:rsidRPr="00C17008">
        <w:rPr>
          <w:rFonts w:ascii="Times New Roman" w:hAnsi="Times New Roman" w:cs="Times New Roman"/>
          <w:bCs/>
          <w:sz w:val="20"/>
          <w:szCs w:val="20"/>
        </w:rPr>
        <w:t>enero–junio de 2025</w:t>
      </w:r>
      <w:r w:rsidRPr="00C17008">
        <w:rPr>
          <w:rFonts w:ascii="Times New Roman" w:hAnsi="Times New Roman" w:cs="Times New Roman"/>
          <w:sz w:val="20"/>
          <w:szCs w:val="20"/>
        </w:rPr>
        <w:t xml:space="preserve">, los precios promedio de los principales fertilizantes en la República Dominicana mostraron una </w:t>
      </w:r>
      <w:r w:rsidRPr="00C17008">
        <w:rPr>
          <w:rFonts w:ascii="Times New Roman" w:hAnsi="Times New Roman" w:cs="Times New Roman"/>
          <w:bCs/>
          <w:sz w:val="20"/>
          <w:szCs w:val="20"/>
        </w:rPr>
        <w:t>leve disminución con relación al año 2024</w:t>
      </w:r>
      <w:r w:rsidRPr="00C17008">
        <w:rPr>
          <w:rFonts w:ascii="Times New Roman" w:hAnsi="Times New Roman" w:cs="Times New Roman"/>
          <w:sz w:val="20"/>
          <w:szCs w:val="20"/>
        </w:rPr>
        <w:t>, manteniendo la tendencia de estabilización observada desde el segundo semestre de 2023.</w:t>
      </w:r>
      <w:r w:rsidRPr="00C17008">
        <w:rPr>
          <w:rFonts w:ascii="Times New Roman" w:hAnsi="Times New Roman" w:cs="Times New Roman"/>
          <w:sz w:val="20"/>
          <w:szCs w:val="20"/>
        </w:rPr>
        <w:br/>
        <w:t xml:space="preserve">Este comportamiento estuvo asociado a la </w:t>
      </w:r>
      <w:r w:rsidRPr="00C17008">
        <w:rPr>
          <w:rFonts w:ascii="Times New Roman" w:hAnsi="Times New Roman" w:cs="Times New Roman"/>
          <w:bCs/>
          <w:sz w:val="20"/>
          <w:szCs w:val="20"/>
        </w:rPr>
        <w:t>reducción gradual de los precios internacionales</w:t>
      </w:r>
      <w:r w:rsidRPr="00C17008">
        <w:rPr>
          <w:rFonts w:ascii="Times New Roman" w:hAnsi="Times New Roman" w:cs="Times New Roman"/>
          <w:sz w:val="20"/>
          <w:szCs w:val="20"/>
        </w:rPr>
        <w:t xml:space="preserve"> del gas natural y la potasa, a la </w:t>
      </w:r>
      <w:r w:rsidRPr="00C17008">
        <w:rPr>
          <w:rFonts w:ascii="Times New Roman" w:hAnsi="Times New Roman" w:cs="Times New Roman"/>
          <w:bCs/>
          <w:sz w:val="20"/>
          <w:szCs w:val="20"/>
        </w:rPr>
        <w:t>normalización del transporte marítimo</w:t>
      </w:r>
      <w:r w:rsidRPr="00C17008">
        <w:rPr>
          <w:rFonts w:ascii="Times New Roman" w:hAnsi="Times New Roman" w:cs="Times New Roman"/>
          <w:sz w:val="20"/>
          <w:szCs w:val="20"/>
        </w:rPr>
        <w:t xml:space="preserve"> y a la </w:t>
      </w:r>
      <w:r w:rsidRPr="00C17008">
        <w:rPr>
          <w:rFonts w:ascii="Times New Roman" w:hAnsi="Times New Roman" w:cs="Times New Roman"/>
          <w:bCs/>
          <w:sz w:val="20"/>
          <w:szCs w:val="20"/>
        </w:rPr>
        <w:t>continuidad del programa de subsidio gubernamental</w:t>
      </w:r>
      <w:r w:rsidRPr="00C17008">
        <w:rPr>
          <w:rFonts w:ascii="Times New Roman" w:hAnsi="Times New Roman" w:cs="Times New Roman"/>
          <w:sz w:val="20"/>
          <w:szCs w:val="20"/>
        </w:rPr>
        <w:t xml:space="preserve">, que contribuyó a mitigar las presiones inflacionarias sobre los costos de producción agropecuaria. </w:t>
      </w:r>
    </w:p>
    <w:p w14:paraId="0B5BC8E3" w14:textId="6FAEB8D5" w:rsidR="003C09E4" w:rsidRDefault="003A4BDB" w:rsidP="003C09E4">
      <w:pPr>
        <w:jc w:val="both"/>
        <w:rPr>
          <w:rFonts w:ascii="Times New Roman" w:hAnsi="Times New Roman" w:cs="Times New Roman"/>
          <w:sz w:val="20"/>
          <w:szCs w:val="20"/>
        </w:rPr>
      </w:pPr>
      <w:r w:rsidRPr="00C17008">
        <w:rPr>
          <w:rFonts w:ascii="Times New Roman" w:hAnsi="Times New Roman" w:cs="Times New Roman"/>
          <w:sz w:val="20"/>
          <w:szCs w:val="20"/>
        </w:rPr>
        <w:t xml:space="preserve">El precio promedio de la </w:t>
      </w:r>
      <w:r w:rsidR="00341501" w:rsidRPr="00C17008">
        <w:rPr>
          <w:rFonts w:ascii="Times New Roman" w:hAnsi="Times New Roman" w:cs="Times New Roman"/>
          <w:sz w:val="20"/>
          <w:szCs w:val="20"/>
        </w:rPr>
        <w:t xml:space="preserve">Urea (46-0-0) </w:t>
      </w:r>
      <w:r w:rsidR="003C09E4" w:rsidRPr="003C09E4">
        <w:rPr>
          <w:rFonts w:ascii="Times New Roman" w:hAnsi="Times New Roman" w:cs="Times New Roman"/>
          <w:sz w:val="20"/>
          <w:szCs w:val="20"/>
        </w:rPr>
        <w:t>registró un incremento durante el período analizado, al pasar de RD$1,880.11/qq en 2024 a RD$2,114.25/qq en 2025, lo que representa un aumento absoluto de RD$23</w:t>
      </w:r>
      <w:r w:rsidR="003C09E4">
        <w:rPr>
          <w:rFonts w:ascii="Times New Roman" w:hAnsi="Times New Roman" w:cs="Times New Roman"/>
          <w:sz w:val="20"/>
          <w:szCs w:val="20"/>
        </w:rPr>
        <w:t>4.15, equivalente a un 12.45%.</w:t>
      </w:r>
      <w:r w:rsidR="00B97631">
        <w:rPr>
          <w:rFonts w:ascii="Times New Roman" w:hAnsi="Times New Roman" w:cs="Times New Roman"/>
          <w:sz w:val="20"/>
          <w:szCs w:val="20"/>
        </w:rPr>
        <w:t xml:space="preserve"> </w:t>
      </w:r>
      <w:r w:rsidR="003C09E4" w:rsidRPr="003C09E4">
        <w:rPr>
          <w:rFonts w:ascii="Times New Roman" w:hAnsi="Times New Roman" w:cs="Times New Roman"/>
          <w:sz w:val="20"/>
          <w:szCs w:val="20"/>
        </w:rPr>
        <w:t>Este incremento se asocia principalmente a la mayor demanda internacional de fertilizantes nitrogenados durante el primer semestre de 2025 y al ajuste en los precios del gas natural, materia prim</w:t>
      </w:r>
      <w:r w:rsidR="003C09E4">
        <w:rPr>
          <w:rFonts w:ascii="Times New Roman" w:hAnsi="Times New Roman" w:cs="Times New Roman"/>
          <w:sz w:val="20"/>
          <w:szCs w:val="20"/>
        </w:rPr>
        <w:t xml:space="preserve">a esencial para su elaboración. </w:t>
      </w:r>
      <w:r w:rsidR="003C09E4" w:rsidRPr="003C09E4">
        <w:rPr>
          <w:rFonts w:ascii="Times New Roman" w:hAnsi="Times New Roman" w:cs="Times New Roman"/>
          <w:sz w:val="20"/>
          <w:szCs w:val="20"/>
        </w:rPr>
        <w:t>No obstante, el programa de subsidios implementado por el Gobierno dominicano, junto con la normalización parcial del transporte marítimo, contribuyó a mitigar el impacto del alza internacional y mantener la disponibilidad del producto en el mercado nacional a precios competitivos.</w:t>
      </w:r>
    </w:p>
    <w:p w14:paraId="22BAAF17" w14:textId="6279BC4B" w:rsidR="00F11F16" w:rsidRPr="000A56A7" w:rsidRDefault="003A4BDB" w:rsidP="003C09E4">
      <w:pPr>
        <w:jc w:val="both"/>
        <w:rPr>
          <w:rFonts w:ascii="Times New Roman" w:hAnsi="Times New Roman" w:cs="Times New Roman"/>
          <w:sz w:val="20"/>
          <w:szCs w:val="20"/>
        </w:rPr>
      </w:pPr>
      <w:r w:rsidRPr="00C17008">
        <w:rPr>
          <w:rFonts w:ascii="Times New Roman" w:hAnsi="Times New Roman" w:cs="Times New Roman"/>
          <w:sz w:val="20"/>
          <w:szCs w:val="20"/>
        </w:rPr>
        <w:t>El</w:t>
      </w:r>
      <w:r w:rsidR="00341501" w:rsidRPr="00C17008">
        <w:rPr>
          <w:rFonts w:ascii="Times New Roman" w:hAnsi="Times New Roman" w:cs="Times New Roman"/>
          <w:sz w:val="20"/>
          <w:szCs w:val="20"/>
        </w:rPr>
        <w:t xml:space="preserve"> fertilizante Sulfato de Amonio </w:t>
      </w:r>
      <w:r w:rsidR="00F11F16" w:rsidRPr="00C17008">
        <w:rPr>
          <w:rFonts w:ascii="Times New Roman" w:hAnsi="Times New Roman" w:cs="Times New Roman"/>
          <w:sz w:val="20"/>
          <w:szCs w:val="20"/>
        </w:rPr>
        <w:t xml:space="preserve">presentó </w:t>
      </w:r>
      <w:r w:rsidR="003C09E4" w:rsidRPr="003C09E4">
        <w:rPr>
          <w:rFonts w:ascii="Times New Roman" w:hAnsi="Times New Roman" w:cs="Times New Roman"/>
          <w:sz w:val="20"/>
          <w:szCs w:val="20"/>
        </w:rPr>
        <w:t>una leve disminución de 2.51 %, pasando de RD$1,383.25/qq en</w:t>
      </w:r>
      <w:r w:rsidR="003C09E4">
        <w:rPr>
          <w:rFonts w:ascii="Times New Roman" w:hAnsi="Times New Roman" w:cs="Times New Roman"/>
          <w:sz w:val="20"/>
          <w:szCs w:val="20"/>
        </w:rPr>
        <w:t xml:space="preserve"> 2024 a RD$1,348.52/qq en 2025. </w:t>
      </w:r>
      <w:r w:rsidR="003C09E4" w:rsidRPr="003C09E4">
        <w:rPr>
          <w:rFonts w:ascii="Times New Roman" w:hAnsi="Times New Roman" w:cs="Times New Roman"/>
          <w:sz w:val="20"/>
          <w:szCs w:val="20"/>
        </w:rPr>
        <w:t xml:space="preserve">La reducción está asociada a la estabilidad del mercado internacional del azufre y del </w:t>
      </w:r>
      <w:r w:rsidR="003C09E4" w:rsidRPr="003C09E4">
        <w:rPr>
          <w:rFonts w:ascii="Times New Roman" w:hAnsi="Times New Roman" w:cs="Times New Roman"/>
          <w:sz w:val="20"/>
          <w:szCs w:val="20"/>
        </w:rPr>
        <w:lastRenderedPageBreak/>
        <w:t>amoníaco, así como a la mejora en la</w:t>
      </w:r>
      <w:r w:rsidR="003C09E4">
        <w:rPr>
          <w:rFonts w:ascii="Times New Roman" w:hAnsi="Times New Roman" w:cs="Times New Roman"/>
          <w:sz w:val="20"/>
          <w:szCs w:val="20"/>
        </w:rPr>
        <w:t xml:space="preserve"> cadena de suministro regional. </w:t>
      </w:r>
      <w:r w:rsidR="003C09E4" w:rsidRPr="003C09E4">
        <w:rPr>
          <w:rFonts w:ascii="Times New Roman" w:hAnsi="Times New Roman" w:cs="Times New Roman"/>
          <w:sz w:val="20"/>
          <w:szCs w:val="20"/>
        </w:rPr>
        <w:t>Este comportamiento evidencia la efectividad de las medidas nacionales de control de precios, que contribuyeron a contener los costos de producción agropecuaria.</w:t>
      </w:r>
    </w:p>
    <w:p w14:paraId="1E9BC075" w14:textId="36227A62" w:rsidR="001102DB" w:rsidRDefault="003A4BDB" w:rsidP="001102DB">
      <w:pPr>
        <w:jc w:val="both"/>
        <w:rPr>
          <w:rFonts w:ascii="Times New Roman" w:hAnsi="Times New Roman" w:cs="Times New Roman"/>
          <w:sz w:val="20"/>
          <w:szCs w:val="20"/>
        </w:rPr>
      </w:pPr>
      <w:r w:rsidRPr="000A56A7">
        <w:rPr>
          <w:rFonts w:ascii="Times New Roman" w:hAnsi="Times New Roman" w:cs="Times New Roman"/>
          <w:sz w:val="20"/>
          <w:szCs w:val="20"/>
        </w:rPr>
        <w:t>El p</w:t>
      </w:r>
      <w:r w:rsidR="00D155BA" w:rsidRPr="000A56A7">
        <w:rPr>
          <w:rFonts w:ascii="Times New Roman" w:hAnsi="Times New Roman" w:cs="Times New Roman"/>
          <w:sz w:val="20"/>
          <w:szCs w:val="20"/>
        </w:rPr>
        <w:t>recio</w:t>
      </w:r>
      <w:r w:rsidRPr="000A56A7">
        <w:rPr>
          <w:rFonts w:ascii="Times New Roman" w:hAnsi="Times New Roman" w:cs="Times New Roman"/>
          <w:sz w:val="20"/>
          <w:szCs w:val="20"/>
        </w:rPr>
        <w:t xml:space="preserve"> promedio </w:t>
      </w:r>
      <w:r w:rsidR="00CB68F2" w:rsidRPr="000A56A7">
        <w:rPr>
          <w:rFonts w:ascii="Times New Roman" w:hAnsi="Times New Roman" w:cs="Times New Roman"/>
          <w:sz w:val="20"/>
          <w:szCs w:val="20"/>
        </w:rPr>
        <w:t>del fertilizante</w:t>
      </w:r>
      <w:r w:rsidR="00D155BA" w:rsidRPr="000A56A7">
        <w:rPr>
          <w:rFonts w:ascii="Times New Roman" w:hAnsi="Times New Roman" w:cs="Times New Roman"/>
          <w:sz w:val="20"/>
          <w:szCs w:val="20"/>
        </w:rPr>
        <w:t xml:space="preserve"> </w:t>
      </w:r>
      <w:r w:rsidR="001102DB" w:rsidRPr="001102DB">
        <w:rPr>
          <w:rFonts w:ascii="Times New Roman" w:hAnsi="Times New Roman" w:cs="Times New Roman"/>
          <w:sz w:val="20"/>
          <w:szCs w:val="20"/>
        </w:rPr>
        <w:t>Sulfato de Amonio Granulado mostró un leve incremento, al pasar de RD$1,391.74/qq en 2024 a RD$1,448.50/qq en 2025, equivalente a un</w:t>
      </w:r>
      <w:r w:rsidR="001102DB">
        <w:rPr>
          <w:rFonts w:ascii="Times New Roman" w:hAnsi="Times New Roman" w:cs="Times New Roman"/>
          <w:sz w:val="20"/>
          <w:szCs w:val="20"/>
        </w:rPr>
        <w:t xml:space="preserve">a variación positiva de 4.08%. </w:t>
      </w:r>
      <w:r w:rsidR="001102DB" w:rsidRPr="001102DB">
        <w:rPr>
          <w:rFonts w:ascii="Times New Roman" w:hAnsi="Times New Roman" w:cs="Times New Roman"/>
          <w:sz w:val="20"/>
          <w:szCs w:val="20"/>
        </w:rPr>
        <w:t>Este comportamiento se explica por la recuperación de los precios del azufre y del transporte marítimo, factores que incidieron en los costos de importación, aunque sin alterar significativamente el mercado interno.</w:t>
      </w:r>
      <w:r w:rsidR="001102DB">
        <w:rPr>
          <w:rFonts w:ascii="Times New Roman" w:hAnsi="Times New Roman" w:cs="Times New Roman"/>
          <w:sz w:val="20"/>
          <w:szCs w:val="20"/>
        </w:rPr>
        <w:t xml:space="preserve"> </w:t>
      </w:r>
    </w:p>
    <w:p w14:paraId="7F483B66" w14:textId="27789E81" w:rsidR="001102DB" w:rsidRDefault="00F11F16" w:rsidP="001102DB">
      <w:pPr>
        <w:jc w:val="both"/>
        <w:rPr>
          <w:rFonts w:ascii="Times New Roman" w:hAnsi="Times New Roman" w:cs="Times New Roman"/>
          <w:sz w:val="20"/>
          <w:szCs w:val="20"/>
        </w:rPr>
      </w:pPr>
      <w:r w:rsidRPr="00C17008">
        <w:rPr>
          <w:rFonts w:ascii="Times New Roman" w:hAnsi="Times New Roman" w:cs="Times New Roman"/>
          <w:sz w:val="20"/>
          <w:szCs w:val="20"/>
        </w:rPr>
        <w:t xml:space="preserve">El precio promedio del fertilizante </w:t>
      </w:r>
      <w:r w:rsidR="001102DB" w:rsidRPr="001102DB">
        <w:rPr>
          <w:rFonts w:ascii="Times New Roman" w:hAnsi="Times New Roman" w:cs="Times New Roman"/>
          <w:sz w:val="20"/>
          <w:szCs w:val="20"/>
        </w:rPr>
        <w:t>del Superfosfato Triple</w:t>
      </w:r>
      <w:r w:rsidR="001102DB">
        <w:rPr>
          <w:rFonts w:ascii="Times New Roman" w:hAnsi="Times New Roman" w:cs="Times New Roman"/>
          <w:sz w:val="20"/>
          <w:szCs w:val="20"/>
        </w:rPr>
        <w:t xml:space="preserve"> (0-46-0)</w:t>
      </w:r>
      <w:r w:rsidR="001102DB" w:rsidRPr="001102DB">
        <w:rPr>
          <w:rFonts w:ascii="Times New Roman" w:hAnsi="Times New Roman" w:cs="Times New Roman"/>
          <w:sz w:val="20"/>
          <w:szCs w:val="20"/>
        </w:rPr>
        <w:t xml:space="preserve"> mostró un incremento de 8.64 %, pasando de RD$2,132.16/qq en</w:t>
      </w:r>
      <w:r w:rsidR="001102DB">
        <w:rPr>
          <w:rFonts w:ascii="Times New Roman" w:hAnsi="Times New Roman" w:cs="Times New Roman"/>
          <w:sz w:val="20"/>
          <w:szCs w:val="20"/>
        </w:rPr>
        <w:t xml:space="preserve"> 2024 a RD$2,316.42/qq en 2025. </w:t>
      </w:r>
      <w:r w:rsidR="001102DB" w:rsidRPr="001102DB">
        <w:rPr>
          <w:rFonts w:ascii="Times New Roman" w:hAnsi="Times New Roman" w:cs="Times New Roman"/>
          <w:sz w:val="20"/>
          <w:szCs w:val="20"/>
        </w:rPr>
        <w:t>Este aumento está asociado al encarecimiento temporal de los fosfatos en el mercado internacional y al ajuste en los</w:t>
      </w:r>
      <w:r w:rsidR="001102DB">
        <w:rPr>
          <w:rFonts w:ascii="Times New Roman" w:hAnsi="Times New Roman" w:cs="Times New Roman"/>
          <w:sz w:val="20"/>
          <w:szCs w:val="20"/>
        </w:rPr>
        <w:t xml:space="preserve"> costos de transporte marítimo. </w:t>
      </w:r>
      <w:r w:rsidR="001102DB" w:rsidRPr="001102DB">
        <w:rPr>
          <w:rFonts w:ascii="Times New Roman" w:hAnsi="Times New Roman" w:cs="Times New Roman"/>
          <w:sz w:val="20"/>
          <w:szCs w:val="20"/>
        </w:rPr>
        <w:t>Aun así, la aplicación de políticas públicas de subsidio ayudó a mantener la estabilidad de precios en el ámbito nacional.</w:t>
      </w:r>
      <w:r w:rsidR="001102DB">
        <w:rPr>
          <w:rFonts w:ascii="Times New Roman" w:hAnsi="Times New Roman" w:cs="Times New Roman"/>
          <w:sz w:val="20"/>
          <w:szCs w:val="20"/>
        </w:rPr>
        <w:t xml:space="preserve"> </w:t>
      </w:r>
    </w:p>
    <w:p w14:paraId="541FAFE4" w14:textId="7F9EB811" w:rsidR="001102DB" w:rsidRPr="001102DB" w:rsidRDefault="00F11F16" w:rsidP="001102DB">
      <w:pPr>
        <w:jc w:val="both"/>
        <w:rPr>
          <w:rFonts w:ascii="Times New Roman" w:hAnsi="Times New Roman" w:cs="Times New Roman"/>
          <w:sz w:val="20"/>
          <w:szCs w:val="20"/>
        </w:rPr>
      </w:pPr>
      <w:r w:rsidRPr="000A56A7">
        <w:rPr>
          <w:rFonts w:ascii="Times New Roman" w:hAnsi="Times New Roman" w:cs="Times New Roman"/>
          <w:sz w:val="20"/>
          <w:szCs w:val="20"/>
        </w:rPr>
        <w:t>El fertilizante de Sulfato de Potasio (0-0-50-</w:t>
      </w:r>
      <w:r w:rsidR="001102DB">
        <w:rPr>
          <w:rFonts w:ascii="Times New Roman" w:hAnsi="Times New Roman" w:cs="Times New Roman"/>
          <w:sz w:val="20"/>
          <w:szCs w:val="20"/>
        </w:rPr>
        <w:t xml:space="preserve">185) </w:t>
      </w:r>
      <w:r w:rsidR="001102DB" w:rsidRPr="001102DB">
        <w:rPr>
          <w:rFonts w:ascii="Times New Roman" w:hAnsi="Times New Roman" w:cs="Times New Roman"/>
          <w:sz w:val="20"/>
          <w:szCs w:val="20"/>
        </w:rPr>
        <w:t>presentó una disminución notable de 22.09 %, al descender de RD$2,906.84/qq en</w:t>
      </w:r>
      <w:r w:rsidR="001102DB">
        <w:rPr>
          <w:rFonts w:ascii="Times New Roman" w:hAnsi="Times New Roman" w:cs="Times New Roman"/>
          <w:sz w:val="20"/>
          <w:szCs w:val="20"/>
        </w:rPr>
        <w:t xml:space="preserve"> 2024 a RD$2,264.74/qq en 2025. </w:t>
      </w:r>
      <w:r w:rsidR="001102DB" w:rsidRPr="001102DB">
        <w:rPr>
          <w:rFonts w:ascii="Times New Roman" w:hAnsi="Times New Roman" w:cs="Times New Roman"/>
          <w:sz w:val="20"/>
          <w:szCs w:val="20"/>
        </w:rPr>
        <w:t>La caída está relacionada con la reducción global en los precios de la potasa, derivada del aumento en la oferta de los principales productores (Canadá y Bielorrusia) y de una menor presión de demand</w:t>
      </w:r>
      <w:r w:rsidR="001102DB">
        <w:rPr>
          <w:rFonts w:ascii="Times New Roman" w:hAnsi="Times New Roman" w:cs="Times New Roman"/>
          <w:sz w:val="20"/>
          <w:szCs w:val="20"/>
        </w:rPr>
        <w:t xml:space="preserve">a desde los mercados asiáticos. </w:t>
      </w:r>
      <w:r w:rsidR="001102DB" w:rsidRPr="001102DB">
        <w:rPr>
          <w:rFonts w:ascii="Times New Roman" w:hAnsi="Times New Roman" w:cs="Times New Roman"/>
          <w:sz w:val="20"/>
          <w:szCs w:val="20"/>
        </w:rPr>
        <w:t>Este comportamiento favoreció la disminución del costo de los fertilizantes potásicos en el mercado nacional.</w:t>
      </w:r>
    </w:p>
    <w:p w14:paraId="3FCB906D" w14:textId="37ACB14E" w:rsidR="00FE0E13" w:rsidRPr="000A56A7" w:rsidRDefault="00FE0E13" w:rsidP="00F11F16">
      <w:pPr>
        <w:jc w:val="both"/>
        <w:rPr>
          <w:rFonts w:ascii="Times New Roman" w:hAnsi="Times New Roman" w:cs="Times New Roman"/>
          <w:b/>
          <w:bCs/>
          <w:color w:val="002060"/>
          <w:sz w:val="20"/>
          <w:szCs w:val="20"/>
        </w:rPr>
      </w:pPr>
      <w:r w:rsidRPr="000A56A7">
        <w:rPr>
          <w:rFonts w:ascii="Times New Roman" w:hAnsi="Times New Roman" w:cs="Times New Roman"/>
          <w:b/>
          <w:bCs/>
          <w:color w:val="002060"/>
          <w:sz w:val="20"/>
          <w:szCs w:val="20"/>
        </w:rPr>
        <w:t xml:space="preserve">Comparativo de Precios Trimestral de Fertilizante </w:t>
      </w:r>
      <w:r w:rsidR="00D633CC" w:rsidRPr="000A56A7">
        <w:rPr>
          <w:rFonts w:ascii="Times New Roman" w:hAnsi="Times New Roman" w:cs="Times New Roman"/>
          <w:b/>
          <w:bCs/>
          <w:color w:val="002060"/>
          <w:sz w:val="20"/>
          <w:szCs w:val="20"/>
        </w:rPr>
        <w:t>(enero</w:t>
      </w:r>
      <w:r w:rsidR="00A50166" w:rsidRPr="000A56A7">
        <w:rPr>
          <w:rFonts w:ascii="Times New Roman" w:hAnsi="Times New Roman" w:cs="Times New Roman"/>
          <w:b/>
          <w:bCs/>
          <w:color w:val="002060"/>
          <w:sz w:val="20"/>
          <w:szCs w:val="20"/>
        </w:rPr>
        <w:t>-</w:t>
      </w:r>
      <w:r w:rsidR="00DD470D" w:rsidRPr="000A56A7">
        <w:rPr>
          <w:rFonts w:ascii="Times New Roman" w:hAnsi="Times New Roman" w:cs="Times New Roman"/>
          <w:b/>
          <w:bCs/>
          <w:color w:val="002060"/>
          <w:sz w:val="20"/>
          <w:szCs w:val="20"/>
        </w:rPr>
        <w:t>diciembre</w:t>
      </w:r>
      <w:r w:rsidR="00A50166" w:rsidRPr="000A56A7">
        <w:rPr>
          <w:rFonts w:ascii="Times New Roman" w:hAnsi="Times New Roman" w:cs="Times New Roman"/>
          <w:b/>
          <w:bCs/>
          <w:color w:val="002060"/>
          <w:sz w:val="20"/>
          <w:szCs w:val="20"/>
        </w:rPr>
        <w:t xml:space="preserve">), </w:t>
      </w:r>
      <w:r w:rsidR="00C17008">
        <w:rPr>
          <w:rFonts w:ascii="Times New Roman" w:hAnsi="Times New Roman" w:cs="Times New Roman"/>
          <w:b/>
          <w:bCs/>
          <w:color w:val="002060"/>
          <w:sz w:val="20"/>
          <w:szCs w:val="20"/>
        </w:rPr>
        <w:t>2024 Vs. 2025</w:t>
      </w:r>
      <w:r w:rsidR="00A84779" w:rsidRPr="000A56A7">
        <w:rPr>
          <w:rFonts w:ascii="Times New Roman" w:hAnsi="Times New Roman" w:cs="Times New Roman"/>
          <w:b/>
          <w:bCs/>
          <w:color w:val="002060"/>
          <w:sz w:val="20"/>
          <w:szCs w:val="20"/>
        </w:rPr>
        <w:t xml:space="preserve"> (RD$)</w:t>
      </w:r>
    </w:p>
    <w:p w14:paraId="3C32AB93" w14:textId="56548CA2" w:rsidR="00F11F16" w:rsidRPr="000A56A7" w:rsidRDefault="00F11F16" w:rsidP="00F11F16">
      <w:pPr>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El análisis comparativo de los precios trimestrales de los principales fertilizantes durante el período enero–junio de 2025, en relación con el mismo período del año 2024, muestra una tendencia de estabilidad general con leves reducciones interanuales.</w:t>
      </w:r>
      <w:r w:rsidRPr="000A56A7">
        <w:rPr>
          <w:rFonts w:ascii="Times New Roman" w:hAnsi="Times New Roman" w:cs="Times New Roman"/>
          <w:color w:val="000000" w:themeColor="text1"/>
          <w:sz w:val="20"/>
          <w:szCs w:val="20"/>
        </w:rPr>
        <w:br/>
        <w:t xml:space="preserve">Este comportamiento refleja los efectos combinados de la disminución en los precios internacionales de las materias primas y la continuidad de las medidas gubernamentales de subsidio y control de precios implementadas por el Ministerio de Agricultura. </w:t>
      </w:r>
    </w:p>
    <w:p w14:paraId="194ECCEF" w14:textId="13F00F42" w:rsidR="00F11F16" w:rsidRPr="000A56A7" w:rsidRDefault="00F11F16" w:rsidP="00F11F16">
      <w:pPr>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En el primer trimestre (enero–marzo de 2025), los precios de la mayoría de los fertilizantes se mantuvieron cercanos a los niveles observados a finales de 2024, mientras que en el segundo trimestre (abril–junio) se evidenció una ligera reducción promedio de entre 2 % y 4 %, particularmente en los productos nitrogenados y fosfatados.</w:t>
      </w:r>
    </w:p>
    <w:p w14:paraId="7B86189C" w14:textId="722D4316" w:rsidR="009740BB" w:rsidRPr="000A56A7" w:rsidRDefault="009740BB" w:rsidP="00F11F16">
      <w:pPr>
        <w:jc w:val="both"/>
        <w:rPr>
          <w:rFonts w:ascii="Times New Roman" w:hAnsi="Times New Roman" w:cs="Times New Roman"/>
          <w:color w:val="000000" w:themeColor="text1"/>
          <w:sz w:val="20"/>
          <w:szCs w:val="20"/>
        </w:rPr>
      </w:pPr>
      <w:r w:rsidRPr="000A56A7">
        <w:rPr>
          <w:rFonts w:ascii="Times New Roman" w:hAnsi="Times New Roman" w:cs="Times New Roman"/>
          <w:noProof/>
          <w:sz w:val="20"/>
          <w:szCs w:val="20"/>
          <w:lang w:eastAsia="es-DO"/>
        </w:rPr>
        <w:drawing>
          <wp:inline distT="0" distB="0" distL="0" distR="0" wp14:anchorId="3CDC77DA" wp14:editId="619A1321">
            <wp:extent cx="2638425" cy="2857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057" cy="2858184"/>
                    </a:xfrm>
                    <a:prstGeom prst="rect">
                      <a:avLst/>
                    </a:prstGeom>
                    <a:noFill/>
                    <a:ln>
                      <a:noFill/>
                    </a:ln>
                  </pic:spPr>
                </pic:pic>
              </a:graphicData>
            </a:graphic>
          </wp:inline>
        </w:drawing>
      </w:r>
    </w:p>
    <w:p w14:paraId="6E874699" w14:textId="77777777" w:rsidR="00F11F16" w:rsidRPr="00C17008" w:rsidRDefault="00F11F16" w:rsidP="00F11F16">
      <w:pPr>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 xml:space="preserve">En definitiva, se puede concluir </w:t>
      </w:r>
      <w:r w:rsidRPr="00C17008">
        <w:rPr>
          <w:rFonts w:ascii="Times New Roman" w:hAnsi="Times New Roman" w:cs="Times New Roman"/>
          <w:color w:val="000000" w:themeColor="text1"/>
          <w:sz w:val="20"/>
          <w:szCs w:val="20"/>
        </w:rPr>
        <w:t xml:space="preserve">que la </w:t>
      </w:r>
      <w:r w:rsidRPr="00C17008">
        <w:rPr>
          <w:rFonts w:ascii="Times New Roman" w:hAnsi="Times New Roman" w:cs="Times New Roman"/>
          <w:bCs/>
          <w:color w:val="000000" w:themeColor="text1"/>
          <w:sz w:val="20"/>
          <w:szCs w:val="20"/>
        </w:rPr>
        <w:t>baja en los precios internos de los fertilizantes durante el primer semestre de 2025</w:t>
      </w:r>
      <w:r w:rsidRPr="00C17008">
        <w:rPr>
          <w:rFonts w:ascii="Times New Roman" w:hAnsi="Times New Roman" w:cs="Times New Roman"/>
          <w:color w:val="000000" w:themeColor="text1"/>
          <w:sz w:val="20"/>
          <w:szCs w:val="20"/>
        </w:rPr>
        <w:t xml:space="preserve"> ha sido consecuencia directa de dos factores determinantes:</w:t>
      </w:r>
    </w:p>
    <w:p w14:paraId="56AC5B55" w14:textId="77777777" w:rsidR="00F11F16" w:rsidRPr="000A56A7" w:rsidRDefault="00F11F16" w:rsidP="00F11F16">
      <w:pPr>
        <w:numPr>
          <w:ilvl w:val="0"/>
          <w:numId w:val="11"/>
        </w:numPr>
        <w:tabs>
          <w:tab w:val="num" w:pos="720"/>
        </w:tabs>
        <w:jc w:val="both"/>
        <w:rPr>
          <w:rFonts w:ascii="Times New Roman" w:hAnsi="Times New Roman" w:cs="Times New Roman"/>
          <w:color w:val="000000" w:themeColor="text1"/>
          <w:sz w:val="20"/>
          <w:szCs w:val="20"/>
        </w:rPr>
      </w:pPr>
      <w:r w:rsidRPr="000A56A7">
        <w:rPr>
          <w:rFonts w:ascii="Times New Roman" w:hAnsi="Times New Roman" w:cs="Times New Roman"/>
          <w:b/>
          <w:bCs/>
          <w:color w:val="000000" w:themeColor="text1"/>
          <w:sz w:val="20"/>
          <w:szCs w:val="20"/>
        </w:rPr>
        <w:t>Las acciones implementadas por el Gobierno dominicano</w:t>
      </w:r>
      <w:r w:rsidRPr="000A56A7">
        <w:rPr>
          <w:rFonts w:ascii="Times New Roman" w:hAnsi="Times New Roman" w:cs="Times New Roman"/>
          <w:color w:val="000000" w:themeColor="text1"/>
          <w:sz w:val="20"/>
          <w:szCs w:val="20"/>
        </w:rPr>
        <w:t xml:space="preserve">, a través del </w:t>
      </w:r>
      <w:r w:rsidRPr="00C17008">
        <w:rPr>
          <w:rFonts w:ascii="Times New Roman" w:hAnsi="Times New Roman" w:cs="Times New Roman"/>
          <w:bCs/>
          <w:color w:val="000000" w:themeColor="text1"/>
          <w:sz w:val="20"/>
          <w:szCs w:val="20"/>
        </w:rPr>
        <w:t>Ministerio de Agricultura</w:t>
      </w:r>
      <w:r w:rsidRPr="00C17008">
        <w:rPr>
          <w:rFonts w:ascii="Times New Roman" w:hAnsi="Times New Roman" w:cs="Times New Roman"/>
          <w:color w:val="000000" w:themeColor="text1"/>
          <w:sz w:val="20"/>
          <w:szCs w:val="20"/>
        </w:rPr>
        <w:t xml:space="preserve">, orientadas a mantener la estabilidad del mercado mediante </w:t>
      </w:r>
      <w:r w:rsidRPr="00C17008">
        <w:rPr>
          <w:rFonts w:ascii="Times New Roman" w:hAnsi="Times New Roman" w:cs="Times New Roman"/>
          <w:bCs/>
          <w:color w:val="000000" w:themeColor="text1"/>
          <w:sz w:val="20"/>
          <w:szCs w:val="20"/>
        </w:rPr>
        <w:t>subsidios directos</w:t>
      </w:r>
      <w:r w:rsidRPr="00C17008">
        <w:rPr>
          <w:rFonts w:ascii="Times New Roman" w:hAnsi="Times New Roman" w:cs="Times New Roman"/>
          <w:color w:val="000000" w:themeColor="text1"/>
          <w:sz w:val="20"/>
          <w:szCs w:val="20"/>
        </w:rPr>
        <w:t>, apoyo financiero a productores</w:t>
      </w:r>
      <w:r w:rsidRPr="000A56A7">
        <w:rPr>
          <w:rFonts w:ascii="Times New Roman" w:hAnsi="Times New Roman" w:cs="Times New Roman"/>
          <w:color w:val="000000" w:themeColor="text1"/>
          <w:sz w:val="20"/>
          <w:szCs w:val="20"/>
        </w:rPr>
        <w:t xml:space="preserve"> y vigilancia de precios.</w:t>
      </w:r>
    </w:p>
    <w:p w14:paraId="2D38C08B" w14:textId="77777777" w:rsidR="00F11F16" w:rsidRPr="000A56A7" w:rsidRDefault="00F11F16" w:rsidP="00F11F16">
      <w:pPr>
        <w:numPr>
          <w:ilvl w:val="0"/>
          <w:numId w:val="11"/>
        </w:numPr>
        <w:tabs>
          <w:tab w:val="num" w:pos="720"/>
        </w:tabs>
        <w:jc w:val="both"/>
        <w:rPr>
          <w:rFonts w:ascii="Times New Roman" w:hAnsi="Times New Roman" w:cs="Times New Roman"/>
          <w:color w:val="000000" w:themeColor="text1"/>
          <w:sz w:val="20"/>
          <w:szCs w:val="20"/>
        </w:rPr>
      </w:pPr>
      <w:r w:rsidRPr="000A56A7">
        <w:rPr>
          <w:rFonts w:ascii="Times New Roman" w:hAnsi="Times New Roman" w:cs="Times New Roman"/>
          <w:b/>
          <w:bCs/>
          <w:color w:val="000000" w:themeColor="text1"/>
          <w:sz w:val="20"/>
          <w:szCs w:val="20"/>
        </w:rPr>
        <w:t>La disminución registrada en los precios internacionales</w:t>
      </w:r>
      <w:r w:rsidRPr="000A56A7">
        <w:rPr>
          <w:rFonts w:ascii="Times New Roman" w:hAnsi="Times New Roman" w:cs="Times New Roman"/>
          <w:color w:val="000000" w:themeColor="text1"/>
          <w:sz w:val="20"/>
          <w:szCs w:val="20"/>
        </w:rPr>
        <w:t xml:space="preserve"> de las materias primas esenciales (como el gas natural, la potasa y el amoníaco), que redujeron los costos de producción y transporte de los fertilizantes importados.</w:t>
      </w:r>
    </w:p>
    <w:p w14:paraId="23C8208F" w14:textId="77777777" w:rsidR="00E63195" w:rsidRDefault="00F11F16" w:rsidP="003540CF">
      <w:pPr>
        <w:jc w:val="both"/>
        <w:rPr>
          <w:rFonts w:ascii="Times New Roman" w:hAnsi="Times New Roman" w:cs="Times New Roman"/>
          <w:color w:val="000000" w:themeColor="text1"/>
          <w:sz w:val="20"/>
          <w:szCs w:val="20"/>
        </w:rPr>
      </w:pPr>
      <w:r w:rsidRPr="000A56A7">
        <w:rPr>
          <w:rFonts w:ascii="Times New Roman" w:hAnsi="Times New Roman" w:cs="Times New Roman"/>
          <w:color w:val="000000" w:themeColor="text1"/>
          <w:sz w:val="20"/>
          <w:szCs w:val="20"/>
        </w:rPr>
        <w:t xml:space="preserve">Gracias a estas medidas, la República Dominicana ha </w:t>
      </w:r>
      <w:r w:rsidRPr="00C17008">
        <w:rPr>
          <w:rFonts w:ascii="Times New Roman" w:hAnsi="Times New Roman" w:cs="Times New Roman"/>
          <w:color w:val="000000" w:themeColor="text1"/>
          <w:sz w:val="20"/>
          <w:szCs w:val="20"/>
        </w:rPr>
        <w:t xml:space="preserve">logrado </w:t>
      </w:r>
      <w:r w:rsidRPr="00C17008">
        <w:rPr>
          <w:rFonts w:ascii="Times New Roman" w:hAnsi="Times New Roman" w:cs="Times New Roman"/>
          <w:bCs/>
          <w:color w:val="000000" w:themeColor="text1"/>
          <w:sz w:val="20"/>
          <w:szCs w:val="20"/>
        </w:rPr>
        <w:t>preservar la estabilidad del mercado de insumos agrícolas</w:t>
      </w:r>
      <w:r w:rsidR="009740BB" w:rsidRPr="00C17008">
        <w:rPr>
          <w:rFonts w:ascii="Times New Roman" w:hAnsi="Times New Roman" w:cs="Times New Roman"/>
          <w:color w:val="000000" w:themeColor="text1"/>
          <w:sz w:val="20"/>
          <w:szCs w:val="20"/>
        </w:rPr>
        <w:t xml:space="preserve">, </w:t>
      </w:r>
      <w:r w:rsidRPr="00C17008">
        <w:rPr>
          <w:rFonts w:ascii="Times New Roman" w:hAnsi="Times New Roman" w:cs="Times New Roman"/>
          <w:color w:val="000000" w:themeColor="text1"/>
          <w:sz w:val="20"/>
          <w:szCs w:val="20"/>
        </w:rPr>
        <w:t xml:space="preserve">garantizando la disponibilidad oportuna de fertilizantes a precios accesibles y contribuyendo al mantenimiento de la </w:t>
      </w:r>
      <w:r w:rsidRPr="00C17008">
        <w:rPr>
          <w:rFonts w:ascii="Times New Roman" w:hAnsi="Times New Roman" w:cs="Times New Roman"/>
          <w:bCs/>
          <w:color w:val="000000" w:themeColor="text1"/>
          <w:sz w:val="20"/>
          <w:szCs w:val="20"/>
        </w:rPr>
        <w:t>competitividad y sostenibilidad del sector agropecuario nacional</w:t>
      </w:r>
      <w:r w:rsidR="00210D8D">
        <w:rPr>
          <w:rFonts w:ascii="Times New Roman" w:hAnsi="Times New Roman" w:cs="Times New Roman"/>
          <w:color w:val="000000" w:themeColor="text1"/>
          <w:sz w:val="20"/>
          <w:szCs w:val="20"/>
        </w:rPr>
        <w:t>.</w:t>
      </w:r>
    </w:p>
    <w:p w14:paraId="07DCDB0A" w14:textId="77777777" w:rsidR="00B97631" w:rsidRDefault="00B97631" w:rsidP="003540CF">
      <w:pPr>
        <w:jc w:val="both"/>
        <w:rPr>
          <w:rFonts w:ascii="Times New Roman" w:hAnsi="Times New Roman" w:cs="Times New Roman"/>
          <w:color w:val="000000" w:themeColor="text1"/>
          <w:sz w:val="20"/>
          <w:szCs w:val="20"/>
        </w:rPr>
      </w:pPr>
    </w:p>
    <w:p w14:paraId="20BA996D" w14:textId="443D89D0" w:rsidR="00B97631" w:rsidRPr="000A56A7" w:rsidRDefault="00B97631" w:rsidP="003540CF">
      <w:pPr>
        <w:jc w:val="both"/>
        <w:rPr>
          <w:rFonts w:ascii="Times New Roman" w:hAnsi="Times New Roman" w:cs="Times New Roman"/>
          <w:color w:val="000000" w:themeColor="text1"/>
          <w:sz w:val="20"/>
          <w:szCs w:val="20"/>
        </w:rPr>
        <w:sectPr w:rsidR="00B97631" w:rsidRPr="000A56A7" w:rsidSect="00E63195">
          <w:type w:val="continuous"/>
          <w:pgSz w:w="11906" w:h="16838"/>
          <w:pgMar w:top="1417" w:right="1701" w:bottom="1417" w:left="1701" w:header="708" w:footer="708" w:gutter="0"/>
          <w:cols w:num="2" w:space="708"/>
          <w:docGrid w:linePitch="360"/>
        </w:sectPr>
      </w:pPr>
    </w:p>
    <w:p w14:paraId="58E185EB" w14:textId="4164380D" w:rsidR="007B46F2" w:rsidRPr="00B77C88" w:rsidRDefault="007B46F2" w:rsidP="00B97631">
      <w:pPr>
        <w:jc w:val="both"/>
        <w:rPr>
          <w:rFonts w:cstheme="minorHAnsi"/>
        </w:rPr>
      </w:pPr>
    </w:p>
    <w:sectPr w:rsidR="007B46F2" w:rsidRPr="00B77C88" w:rsidSect="00E63195">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C3EEB" w14:textId="77777777" w:rsidR="00572B03" w:rsidRDefault="00572B03" w:rsidP="00C77876">
      <w:pPr>
        <w:spacing w:after="0" w:line="240" w:lineRule="auto"/>
      </w:pPr>
      <w:r>
        <w:separator/>
      </w:r>
    </w:p>
  </w:endnote>
  <w:endnote w:type="continuationSeparator" w:id="0">
    <w:p w14:paraId="03243AAC" w14:textId="77777777" w:rsidR="00572B03" w:rsidRDefault="00572B03" w:rsidP="00C77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182809"/>
      <w:docPartObj>
        <w:docPartGallery w:val="Page Numbers (Bottom of Page)"/>
        <w:docPartUnique/>
      </w:docPartObj>
    </w:sdtPr>
    <w:sdtEndPr/>
    <w:sdtContent>
      <w:p w14:paraId="20EBAB7C" w14:textId="730839A1" w:rsidR="00C77876" w:rsidRDefault="00C77876">
        <w:pPr>
          <w:pStyle w:val="Piedepgina"/>
          <w:jc w:val="right"/>
        </w:pPr>
        <w:r>
          <w:fldChar w:fldCharType="begin"/>
        </w:r>
        <w:r>
          <w:instrText>PAGE   \* MERGEFORMAT</w:instrText>
        </w:r>
        <w:r>
          <w:fldChar w:fldCharType="separate"/>
        </w:r>
        <w:r w:rsidR="00210D8D" w:rsidRPr="00210D8D">
          <w:rPr>
            <w:noProof/>
            <w:lang w:val="es-ES"/>
          </w:rPr>
          <w:t>6</w:t>
        </w:r>
        <w:r>
          <w:fldChar w:fldCharType="end"/>
        </w:r>
      </w:p>
    </w:sdtContent>
  </w:sdt>
  <w:p w14:paraId="0649F3D0" w14:textId="77777777" w:rsidR="00C77876" w:rsidRDefault="00C778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7865A" w14:textId="77777777" w:rsidR="00572B03" w:rsidRDefault="00572B03" w:rsidP="00C77876">
      <w:pPr>
        <w:spacing w:after="0" w:line="240" w:lineRule="auto"/>
      </w:pPr>
      <w:r>
        <w:separator/>
      </w:r>
    </w:p>
  </w:footnote>
  <w:footnote w:type="continuationSeparator" w:id="0">
    <w:p w14:paraId="0E113D69" w14:textId="77777777" w:rsidR="00572B03" w:rsidRDefault="00572B03" w:rsidP="00C77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5F8A"/>
    <w:multiLevelType w:val="hybridMultilevel"/>
    <w:tmpl w:val="8E06E814"/>
    <w:lvl w:ilvl="0" w:tplc="E1B435E8">
      <w:start w:val="1"/>
      <w:numFmt w:val="bullet"/>
      <w:lvlText w:val=""/>
      <w:lvlJc w:val="left"/>
      <w:pPr>
        <w:ind w:left="420" w:hanging="360"/>
      </w:pPr>
      <w:rPr>
        <w:rFonts w:ascii="Symbol" w:eastAsiaTheme="minorHAnsi" w:hAnsi="Symbol" w:cstheme="minorBidi" w:hint="default"/>
      </w:rPr>
    </w:lvl>
    <w:lvl w:ilvl="1" w:tplc="1C0A0003" w:tentative="1">
      <w:start w:val="1"/>
      <w:numFmt w:val="bullet"/>
      <w:lvlText w:val="o"/>
      <w:lvlJc w:val="left"/>
      <w:pPr>
        <w:ind w:left="1140" w:hanging="360"/>
      </w:pPr>
      <w:rPr>
        <w:rFonts w:ascii="Courier New" w:hAnsi="Courier New" w:cs="Courier New" w:hint="default"/>
      </w:rPr>
    </w:lvl>
    <w:lvl w:ilvl="2" w:tplc="1C0A0005" w:tentative="1">
      <w:start w:val="1"/>
      <w:numFmt w:val="bullet"/>
      <w:lvlText w:val=""/>
      <w:lvlJc w:val="left"/>
      <w:pPr>
        <w:ind w:left="1860" w:hanging="360"/>
      </w:pPr>
      <w:rPr>
        <w:rFonts w:ascii="Wingdings" w:hAnsi="Wingdings" w:hint="default"/>
      </w:rPr>
    </w:lvl>
    <w:lvl w:ilvl="3" w:tplc="1C0A0001" w:tentative="1">
      <w:start w:val="1"/>
      <w:numFmt w:val="bullet"/>
      <w:lvlText w:val=""/>
      <w:lvlJc w:val="left"/>
      <w:pPr>
        <w:ind w:left="2580" w:hanging="360"/>
      </w:pPr>
      <w:rPr>
        <w:rFonts w:ascii="Symbol" w:hAnsi="Symbol" w:hint="default"/>
      </w:rPr>
    </w:lvl>
    <w:lvl w:ilvl="4" w:tplc="1C0A0003" w:tentative="1">
      <w:start w:val="1"/>
      <w:numFmt w:val="bullet"/>
      <w:lvlText w:val="o"/>
      <w:lvlJc w:val="left"/>
      <w:pPr>
        <w:ind w:left="3300" w:hanging="360"/>
      </w:pPr>
      <w:rPr>
        <w:rFonts w:ascii="Courier New" w:hAnsi="Courier New" w:cs="Courier New" w:hint="default"/>
      </w:rPr>
    </w:lvl>
    <w:lvl w:ilvl="5" w:tplc="1C0A0005" w:tentative="1">
      <w:start w:val="1"/>
      <w:numFmt w:val="bullet"/>
      <w:lvlText w:val=""/>
      <w:lvlJc w:val="left"/>
      <w:pPr>
        <w:ind w:left="4020" w:hanging="360"/>
      </w:pPr>
      <w:rPr>
        <w:rFonts w:ascii="Wingdings" w:hAnsi="Wingdings" w:hint="default"/>
      </w:rPr>
    </w:lvl>
    <w:lvl w:ilvl="6" w:tplc="1C0A0001" w:tentative="1">
      <w:start w:val="1"/>
      <w:numFmt w:val="bullet"/>
      <w:lvlText w:val=""/>
      <w:lvlJc w:val="left"/>
      <w:pPr>
        <w:ind w:left="4740" w:hanging="360"/>
      </w:pPr>
      <w:rPr>
        <w:rFonts w:ascii="Symbol" w:hAnsi="Symbol" w:hint="default"/>
      </w:rPr>
    </w:lvl>
    <w:lvl w:ilvl="7" w:tplc="1C0A0003" w:tentative="1">
      <w:start w:val="1"/>
      <w:numFmt w:val="bullet"/>
      <w:lvlText w:val="o"/>
      <w:lvlJc w:val="left"/>
      <w:pPr>
        <w:ind w:left="5460" w:hanging="360"/>
      </w:pPr>
      <w:rPr>
        <w:rFonts w:ascii="Courier New" w:hAnsi="Courier New" w:cs="Courier New" w:hint="default"/>
      </w:rPr>
    </w:lvl>
    <w:lvl w:ilvl="8" w:tplc="1C0A0005" w:tentative="1">
      <w:start w:val="1"/>
      <w:numFmt w:val="bullet"/>
      <w:lvlText w:val=""/>
      <w:lvlJc w:val="left"/>
      <w:pPr>
        <w:ind w:left="6180" w:hanging="360"/>
      </w:pPr>
      <w:rPr>
        <w:rFonts w:ascii="Wingdings" w:hAnsi="Wingdings" w:hint="default"/>
      </w:rPr>
    </w:lvl>
  </w:abstractNum>
  <w:abstractNum w:abstractNumId="1" w15:restartNumberingAfterBreak="0">
    <w:nsid w:val="28CD0BCB"/>
    <w:multiLevelType w:val="hybridMultilevel"/>
    <w:tmpl w:val="253E3266"/>
    <w:lvl w:ilvl="0" w:tplc="F66C41BA">
      <w:start w:val="1"/>
      <w:numFmt w:val="bullet"/>
      <w:lvlText w:val=""/>
      <w:lvlJc w:val="left"/>
      <w:pPr>
        <w:ind w:left="360" w:hanging="360"/>
      </w:pPr>
      <w:rPr>
        <w:rFonts w:ascii="Symbol" w:hAnsi="Symbol" w:hint="default"/>
        <w:color w:val="00206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305159BB"/>
    <w:multiLevelType w:val="hybridMultilevel"/>
    <w:tmpl w:val="7CC409F2"/>
    <w:lvl w:ilvl="0" w:tplc="CCB26452">
      <w:start w:val="1"/>
      <w:numFmt w:val="bullet"/>
      <w:lvlText w:val=""/>
      <w:lvlJc w:val="left"/>
      <w:pPr>
        <w:ind w:left="360" w:hanging="360"/>
      </w:pPr>
      <w:rPr>
        <w:rFonts w:ascii="Symbol" w:hAnsi="Symbol" w:hint="default"/>
        <w:color w:val="00206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15:restartNumberingAfterBreak="0">
    <w:nsid w:val="34585E9D"/>
    <w:multiLevelType w:val="hybridMultilevel"/>
    <w:tmpl w:val="7FAC4E8C"/>
    <w:lvl w:ilvl="0" w:tplc="345C0162">
      <w:start w:val="6"/>
      <w:numFmt w:val="bullet"/>
      <w:lvlText w:val="-"/>
      <w:lvlJc w:val="left"/>
      <w:pPr>
        <w:ind w:left="720" w:hanging="360"/>
      </w:pPr>
      <w:rPr>
        <w:rFonts w:ascii="Calibri" w:eastAsiaTheme="minorHAnsi" w:hAnsi="Calibri"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383D4753"/>
    <w:multiLevelType w:val="hybridMultilevel"/>
    <w:tmpl w:val="EB361F14"/>
    <w:lvl w:ilvl="0" w:tplc="1C0A000F">
      <w:start w:val="1"/>
      <w:numFmt w:val="decimal"/>
      <w:lvlText w:val="%1."/>
      <w:lvlJc w:val="left"/>
      <w:pPr>
        <w:ind w:left="36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46C37B34"/>
    <w:multiLevelType w:val="hybridMultilevel"/>
    <w:tmpl w:val="BF849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797006"/>
    <w:multiLevelType w:val="multilevel"/>
    <w:tmpl w:val="D1AC40C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15:restartNumberingAfterBreak="0">
    <w:nsid w:val="578F56CF"/>
    <w:multiLevelType w:val="hybridMultilevel"/>
    <w:tmpl w:val="197E367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57A348C1"/>
    <w:multiLevelType w:val="hybridMultilevel"/>
    <w:tmpl w:val="931E7F9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5AA07BA0"/>
    <w:multiLevelType w:val="hybridMultilevel"/>
    <w:tmpl w:val="94FC1CF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612C2E02"/>
    <w:multiLevelType w:val="multilevel"/>
    <w:tmpl w:val="088C47E2"/>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8"/>
  </w:num>
  <w:num w:numId="2">
    <w:abstractNumId w:val="4"/>
  </w:num>
  <w:num w:numId="3">
    <w:abstractNumId w:val="0"/>
  </w:num>
  <w:num w:numId="4">
    <w:abstractNumId w:val="3"/>
  </w:num>
  <w:num w:numId="5">
    <w:abstractNumId w:val="9"/>
  </w:num>
  <w:num w:numId="6">
    <w:abstractNumId w:val="2"/>
  </w:num>
  <w:num w:numId="7">
    <w:abstractNumId w:val="1"/>
  </w:num>
  <w:num w:numId="8">
    <w:abstractNumId w:val="6"/>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533"/>
    <w:rsid w:val="00000A68"/>
    <w:rsid w:val="00000DFA"/>
    <w:rsid w:val="000016C3"/>
    <w:rsid w:val="00004319"/>
    <w:rsid w:val="00004E72"/>
    <w:rsid w:val="00005B31"/>
    <w:rsid w:val="00014DEA"/>
    <w:rsid w:val="00016E41"/>
    <w:rsid w:val="00023313"/>
    <w:rsid w:val="00024AFD"/>
    <w:rsid w:val="0002612E"/>
    <w:rsid w:val="000324AA"/>
    <w:rsid w:val="00043D19"/>
    <w:rsid w:val="00051BE0"/>
    <w:rsid w:val="000678AC"/>
    <w:rsid w:val="00073912"/>
    <w:rsid w:val="000745DB"/>
    <w:rsid w:val="0007538D"/>
    <w:rsid w:val="00077E72"/>
    <w:rsid w:val="000949A3"/>
    <w:rsid w:val="000A34F1"/>
    <w:rsid w:val="000A56A7"/>
    <w:rsid w:val="000B1CD8"/>
    <w:rsid w:val="000B39DA"/>
    <w:rsid w:val="000B6038"/>
    <w:rsid w:val="000B683E"/>
    <w:rsid w:val="000C02C2"/>
    <w:rsid w:val="000C76C8"/>
    <w:rsid w:val="000D2CF3"/>
    <w:rsid w:val="000D587C"/>
    <w:rsid w:val="000D70EA"/>
    <w:rsid w:val="000D7A46"/>
    <w:rsid w:val="000E561A"/>
    <w:rsid w:val="001069A4"/>
    <w:rsid w:val="001102DB"/>
    <w:rsid w:val="00115A30"/>
    <w:rsid w:val="001318CE"/>
    <w:rsid w:val="00134C7B"/>
    <w:rsid w:val="00145358"/>
    <w:rsid w:val="0015176A"/>
    <w:rsid w:val="00153AEC"/>
    <w:rsid w:val="001544CF"/>
    <w:rsid w:val="00155B09"/>
    <w:rsid w:val="00161B02"/>
    <w:rsid w:val="001772EC"/>
    <w:rsid w:val="00180500"/>
    <w:rsid w:val="00187CF7"/>
    <w:rsid w:val="00192936"/>
    <w:rsid w:val="001A0EC1"/>
    <w:rsid w:val="001A6209"/>
    <w:rsid w:val="001B29EF"/>
    <w:rsid w:val="001C0A02"/>
    <w:rsid w:val="001C3515"/>
    <w:rsid w:val="001C36FD"/>
    <w:rsid w:val="001C56ED"/>
    <w:rsid w:val="001D08C4"/>
    <w:rsid w:val="001E3445"/>
    <w:rsid w:val="001E359D"/>
    <w:rsid w:val="001F0CC7"/>
    <w:rsid w:val="001F3370"/>
    <w:rsid w:val="001F74AA"/>
    <w:rsid w:val="002010EE"/>
    <w:rsid w:val="00201AC3"/>
    <w:rsid w:val="00206BA7"/>
    <w:rsid w:val="00207F81"/>
    <w:rsid w:val="00210D8D"/>
    <w:rsid w:val="002201FF"/>
    <w:rsid w:val="00224002"/>
    <w:rsid w:val="00242595"/>
    <w:rsid w:val="002456C4"/>
    <w:rsid w:val="00252924"/>
    <w:rsid w:val="002534E4"/>
    <w:rsid w:val="00255082"/>
    <w:rsid w:val="00255DDF"/>
    <w:rsid w:val="0026205D"/>
    <w:rsid w:val="0026230B"/>
    <w:rsid w:val="00262843"/>
    <w:rsid w:val="00264A92"/>
    <w:rsid w:val="002671F8"/>
    <w:rsid w:val="00272DFF"/>
    <w:rsid w:val="00273B48"/>
    <w:rsid w:val="002813EA"/>
    <w:rsid w:val="0028798E"/>
    <w:rsid w:val="00290AC2"/>
    <w:rsid w:val="0029124A"/>
    <w:rsid w:val="0029171F"/>
    <w:rsid w:val="002A1641"/>
    <w:rsid w:val="002A6E5A"/>
    <w:rsid w:val="002A7B52"/>
    <w:rsid w:val="002C0915"/>
    <w:rsid w:val="002C3A8C"/>
    <w:rsid w:val="002C4605"/>
    <w:rsid w:val="002C7568"/>
    <w:rsid w:val="002D24BC"/>
    <w:rsid w:val="002D4A01"/>
    <w:rsid w:val="002D7C11"/>
    <w:rsid w:val="002E26C5"/>
    <w:rsid w:val="002E6FB4"/>
    <w:rsid w:val="002F1CD5"/>
    <w:rsid w:val="002F7272"/>
    <w:rsid w:val="002F79FC"/>
    <w:rsid w:val="0030083F"/>
    <w:rsid w:val="00305C7C"/>
    <w:rsid w:val="00315294"/>
    <w:rsid w:val="00316F85"/>
    <w:rsid w:val="00317CEA"/>
    <w:rsid w:val="0032761A"/>
    <w:rsid w:val="00332CC4"/>
    <w:rsid w:val="00334082"/>
    <w:rsid w:val="00341501"/>
    <w:rsid w:val="00346A1E"/>
    <w:rsid w:val="0035160B"/>
    <w:rsid w:val="003540CF"/>
    <w:rsid w:val="00355C4B"/>
    <w:rsid w:val="00356410"/>
    <w:rsid w:val="003571A9"/>
    <w:rsid w:val="00362287"/>
    <w:rsid w:val="00366817"/>
    <w:rsid w:val="00376437"/>
    <w:rsid w:val="0037755B"/>
    <w:rsid w:val="0038281F"/>
    <w:rsid w:val="00385196"/>
    <w:rsid w:val="00385AA6"/>
    <w:rsid w:val="00391FDB"/>
    <w:rsid w:val="00397A39"/>
    <w:rsid w:val="003A03EA"/>
    <w:rsid w:val="003A4BDB"/>
    <w:rsid w:val="003B5651"/>
    <w:rsid w:val="003C0473"/>
    <w:rsid w:val="003C09E4"/>
    <w:rsid w:val="003C35DF"/>
    <w:rsid w:val="003D3592"/>
    <w:rsid w:val="003E2FA6"/>
    <w:rsid w:val="003E555D"/>
    <w:rsid w:val="003F1310"/>
    <w:rsid w:val="003F4486"/>
    <w:rsid w:val="003F62FE"/>
    <w:rsid w:val="003F7C56"/>
    <w:rsid w:val="0041026B"/>
    <w:rsid w:val="00411F13"/>
    <w:rsid w:val="00414A05"/>
    <w:rsid w:val="00417530"/>
    <w:rsid w:val="00435D4B"/>
    <w:rsid w:val="0043750E"/>
    <w:rsid w:val="004461F5"/>
    <w:rsid w:val="0044653C"/>
    <w:rsid w:val="00446714"/>
    <w:rsid w:val="00447D64"/>
    <w:rsid w:val="0045503E"/>
    <w:rsid w:val="00455B67"/>
    <w:rsid w:val="004566B5"/>
    <w:rsid w:val="00464075"/>
    <w:rsid w:val="00470073"/>
    <w:rsid w:val="00484B8C"/>
    <w:rsid w:val="00485B23"/>
    <w:rsid w:val="0049389F"/>
    <w:rsid w:val="00496A1D"/>
    <w:rsid w:val="004A1605"/>
    <w:rsid w:val="004A6FB0"/>
    <w:rsid w:val="004B1381"/>
    <w:rsid w:val="004B2030"/>
    <w:rsid w:val="004C51B3"/>
    <w:rsid w:val="004D051C"/>
    <w:rsid w:val="004D7533"/>
    <w:rsid w:val="004E140A"/>
    <w:rsid w:val="004E1F70"/>
    <w:rsid w:val="004E6E89"/>
    <w:rsid w:val="004F1ADD"/>
    <w:rsid w:val="0050519B"/>
    <w:rsid w:val="005060F7"/>
    <w:rsid w:val="0051047A"/>
    <w:rsid w:val="00510482"/>
    <w:rsid w:val="00512B6A"/>
    <w:rsid w:val="00515C54"/>
    <w:rsid w:val="00516C92"/>
    <w:rsid w:val="0052358C"/>
    <w:rsid w:val="00524F62"/>
    <w:rsid w:val="00525CB2"/>
    <w:rsid w:val="00525F86"/>
    <w:rsid w:val="0056600B"/>
    <w:rsid w:val="00566B5E"/>
    <w:rsid w:val="005710C9"/>
    <w:rsid w:val="00572B03"/>
    <w:rsid w:val="00580145"/>
    <w:rsid w:val="00592ED0"/>
    <w:rsid w:val="005958F2"/>
    <w:rsid w:val="00595FC4"/>
    <w:rsid w:val="005B5F8C"/>
    <w:rsid w:val="005C3B43"/>
    <w:rsid w:val="005C6652"/>
    <w:rsid w:val="005C6780"/>
    <w:rsid w:val="005C7A44"/>
    <w:rsid w:val="005D3905"/>
    <w:rsid w:val="005D7220"/>
    <w:rsid w:val="005E5342"/>
    <w:rsid w:val="005F63FD"/>
    <w:rsid w:val="005F7730"/>
    <w:rsid w:val="00600821"/>
    <w:rsid w:val="00600DAE"/>
    <w:rsid w:val="006030F3"/>
    <w:rsid w:val="006103FB"/>
    <w:rsid w:val="006141DB"/>
    <w:rsid w:val="0061517A"/>
    <w:rsid w:val="00620076"/>
    <w:rsid w:val="00623E57"/>
    <w:rsid w:val="006244F8"/>
    <w:rsid w:val="00625691"/>
    <w:rsid w:val="00645DDE"/>
    <w:rsid w:val="00653B66"/>
    <w:rsid w:val="00663049"/>
    <w:rsid w:val="00664210"/>
    <w:rsid w:val="00672A7B"/>
    <w:rsid w:val="00672F3C"/>
    <w:rsid w:val="006756BE"/>
    <w:rsid w:val="00682E46"/>
    <w:rsid w:val="00683E2B"/>
    <w:rsid w:val="00685610"/>
    <w:rsid w:val="006866CF"/>
    <w:rsid w:val="0069288F"/>
    <w:rsid w:val="00693F17"/>
    <w:rsid w:val="00696F2E"/>
    <w:rsid w:val="006A636A"/>
    <w:rsid w:val="006B42FF"/>
    <w:rsid w:val="006B4AD3"/>
    <w:rsid w:val="006B5CAB"/>
    <w:rsid w:val="006C3A31"/>
    <w:rsid w:val="006C5644"/>
    <w:rsid w:val="006C6C82"/>
    <w:rsid w:val="006D236B"/>
    <w:rsid w:val="006D6EAE"/>
    <w:rsid w:val="006E3C1E"/>
    <w:rsid w:val="006F04EA"/>
    <w:rsid w:val="006F30C3"/>
    <w:rsid w:val="007018A2"/>
    <w:rsid w:val="00701AAC"/>
    <w:rsid w:val="00704F55"/>
    <w:rsid w:val="00711701"/>
    <w:rsid w:val="007122BE"/>
    <w:rsid w:val="007123AF"/>
    <w:rsid w:val="007127F4"/>
    <w:rsid w:val="00713862"/>
    <w:rsid w:val="00720D63"/>
    <w:rsid w:val="00725EB9"/>
    <w:rsid w:val="007301E5"/>
    <w:rsid w:val="0073050D"/>
    <w:rsid w:val="00731823"/>
    <w:rsid w:val="0073550C"/>
    <w:rsid w:val="00742543"/>
    <w:rsid w:val="007473F0"/>
    <w:rsid w:val="00750A99"/>
    <w:rsid w:val="007748AB"/>
    <w:rsid w:val="00791DBA"/>
    <w:rsid w:val="00796FE0"/>
    <w:rsid w:val="007A4D4B"/>
    <w:rsid w:val="007A5012"/>
    <w:rsid w:val="007A5B13"/>
    <w:rsid w:val="007A6E2C"/>
    <w:rsid w:val="007B46F2"/>
    <w:rsid w:val="007B5D67"/>
    <w:rsid w:val="007B6D65"/>
    <w:rsid w:val="007C7F24"/>
    <w:rsid w:val="007D132F"/>
    <w:rsid w:val="007D5015"/>
    <w:rsid w:val="007E678B"/>
    <w:rsid w:val="007E726E"/>
    <w:rsid w:val="007F2399"/>
    <w:rsid w:val="007F4FD2"/>
    <w:rsid w:val="00804D83"/>
    <w:rsid w:val="00811E8A"/>
    <w:rsid w:val="00817E15"/>
    <w:rsid w:val="00827F8D"/>
    <w:rsid w:val="0083191C"/>
    <w:rsid w:val="008443B2"/>
    <w:rsid w:val="00845133"/>
    <w:rsid w:val="0084691E"/>
    <w:rsid w:val="00847A1B"/>
    <w:rsid w:val="00852508"/>
    <w:rsid w:val="00852EAC"/>
    <w:rsid w:val="00857735"/>
    <w:rsid w:val="008611EA"/>
    <w:rsid w:val="00871866"/>
    <w:rsid w:val="00872E3A"/>
    <w:rsid w:val="00881CC0"/>
    <w:rsid w:val="008820A5"/>
    <w:rsid w:val="00884D02"/>
    <w:rsid w:val="00887237"/>
    <w:rsid w:val="00896862"/>
    <w:rsid w:val="008A1B3B"/>
    <w:rsid w:val="008A2543"/>
    <w:rsid w:val="008A45F3"/>
    <w:rsid w:val="008B5BF9"/>
    <w:rsid w:val="008C29D5"/>
    <w:rsid w:val="008C4B9A"/>
    <w:rsid w:val="008D5859"/>
    <w:rsid w:val="008D7B31"/>
    <w:rsid w:val="008E0548"/>
    <w:rsid w:val="008F6032"/>
    <w:rsid w:val="009007D1"/>
    <w:rsid w:val="00902B08"/>
    <w:rsid w:val="009131AA"/>
    <w:rsid w:val="009356AE"/>
    <w:rsid w:val="0093786A"/>
    <w:rsid w:val="0094064D"/>
    <w:rsid w:val="00942FAD"/>
    <w:rsid w:val="009479F8"/>
    <w:rsid w:val="00950B5D"/>
    <w:rsid w:val="00952AC5"/>
    <w:rsid w:val="00962092"/>
    <w:rsid w:val="009656C7"/>
    <w:rsid w:val="00967EE6"/>
    <w:rsid w:val="009740BB"/>
    <w:rsid w:val="00974832"/>
    <w:rsid w:val="00974BA8"/>
    <w:rsid w:val="00985C41"/>
    <w:rsid w:val="009A280C"/>
    <w:rsid w:val="009B12CD"/>
    <w:rsid w:val="009B57C6"/>
    <w:rsid w:val="009C0B51"/>
    <w:rsid w:val="009C511F"/>
    <w:rsid w:val="009D34DC"/>
    <w:rsid w:val="009D5AD8"/>
    <w:rsid w:val="009D6D60"/>
    <w:rsid w:val="009D7646"/>
    <w:rsid w:val="009E458C"/>
    <w:rsid w:val="009F091D"/>
    <w:rsid w:val="00A00730"/>
    <w:rsid w:val="00A02220"/>
    <w:rsid w:val="00A037E7"/>
    <w:rsid w:val="00A22FFC"/>
    <w:rsid w:val="00A2390C"/>
    <w:rsid w:val="00A32AE4"/>
    <w:rsid w:val="00A336AA"/>
    <w:rsid w:val="00A50166"/>
    <w:rsid w:val="00A51259"/>
    <w:rsid w:val="00A536E9"/>
    <w:rsid w:val="00A70390"/>
    <w:rsid w:val="00A75321"/>
    <w:rsid w:val="00A77248"/>
    <w:rsid w:val="00A84779"/>
    <w:rsid w:val="00A8739B"/>
    <w:rsid w:val="00A95594"/>
    <w:rsid w:val="00AA68F1"/>
    <w:rsid w:val="00AB130A"/>
    <w:rsid w:val="00AB4B93"/>
    <w:rsid w:val="00AC2430"/>
    <w:rsid w:val="00AD113A"/>
    <w:rsid w:val="00AD37A5"/>
    <w:rsid w:val="00AD3DAE"/>
    <w:rsid w:val="00AD5C7F"/>
    <w:rsid w:val="00AE30DC"/>
    <w:rsid w:val="00B051BE"/>
    <w:rsid w:val="00B145C8"/>
    <w:rsid w:val="00B32CFF"/>
    <w:rsid w:val="00B50154"/>
    <w:rsid w:val="00B53F2F"/>
    <w:rsid w:val="00B60C4F"/>
    <w:rsid w:val="00B70BE8"/>
    <w:rsid w:val="00B77C88"/>
    <w:rsid w:val="00B77D73"/>
    <w:rsid w:val="00B82A4A"/>
    <w:rsid w:val="00B82EEF"/>
    <w:rsid w:val="00B90B6E"/>
    <w:rsid w:val="00B9603C"/>
    <w:rsid w:val="00B9681C"/>
    <w:rsid w:val="00B97631"/>
    <w:rsid w:val="00BA0D91"/>
    <w:rsid w:val="00BB12B9"/>
    <w:rsid w:val="00BC08C5"/>
    <w:rsid w:val="00BC1A8A"/>
    <w:rsid w:val="00BC7B44"/>
    <w:rsid w:val="00BD1EF3"/>
    <w:rsid w:val="00BD5E6C"/>
    <w:rsid w:val="00BE316E"/>
    <w:rsid w:val="00BE4848"/>
    <w:rsid w:val="00BE6668"/>
    <w:rsid w:val="00BF1715"/>
    <w:rsid w:val="00C01697"/>
    <w:rsid w:val="00C02A3F"/>
    <w:rsid w:val="00C100CB"/>
    <w:rsid w:val="00C11F22"/>
    <w:rsid w:val="00C17008"/>
    <w:rsid w:val="00C21042"/>
    <w:rsid w:val="00C236C1"/>
    <w:rsid w:val="00C32C33"/>
    <w:rsid w:val="00C354DC"/>
    <w:rsid w:val="00C465A6"/>
    <w:rsid w:val="00C47B4B"/>
    <w:rsid w:val="00C50C48"/>
    <w:rsid w:val="00C55E6A"/>
    <w:rsid w:val="00C63446"/>
    <w:rsid w:val="00C65D63"/>
    <w:rsid w:val="00C66F95"/>
    <w:rsid w:val="00C67894"/>
    <w:rsid w:val="00C77876"/>
    <w:rsid w:val="00C77D69"/>
    <w:rsid w:val="00C8437D"/>
    <w:rsid w:val="00C8660B"/>
    <w:rsid w:val="00C96D91"/>
    <w:rsid w:val="00CA61F8"/>
    <w:rsid w:val="00CB68F2"/>
    <w:rsid w:val="00CC0B00"/>
    <w:rsid w:val="00CC6E72"/>
    <w:rsid w:val="00CD378D"/>
    <w:rsid w:val="00CE00B5"/>
    <w:rsid w:val="00CF14EB"/>
    <w:rsid w:val="00CF2402"/>
    <w:rsid w:val="00D00589"/>
    <w:rsid w:val="00D01353"/>
    <w:rsid w:val="00D0274E"/>
    <w:rsid w:val="00D105FC"/>
    <w:rsid w:val="00D119D4"/>
    <w:rsid w:val="00D134A0"/>
    <w:rsid w:val="00D15442"/>
    <w:rsid w:val="00D155BA"/>
    <w:rsid w:val="00D22B4B"/>
    <w:rsid w:val="00D24A24"/>
    <w:rsid w:val="00D30448"/>
    <w:rsid w:val="00D30855"/>
    <w:rsid w:val="00D345CA"/>
    <w:rsid w:val="00D40045"/>
    <w:rsid w:val="00D4516D"/>
    <w:rsid w:val="00D47572"/>
    <w:rsid w:val="00D544CC"/>
    <w:rsid w:val="00D550B5"/>
    <w:rsid w:val="00D578BE"/>
    <w:rsid w:val="00D60735"/>
    <w:rsid w:val="00D633CC"/>
    <w:rsid w:val="00D65E53"/>
    <w:rsid w:val="00D71824"/>
    <w:rsid w:val="00D77C83"/>
    <w:rsid w:val="00D80EDC"/>
    <w:rsid w:val="00D82C59"/>
    <w:rsid w:val="00D86853"/>
    <w:rsid w:val="00DB06F2"/>
    <w:rsid w:val="00DB30F7"/>
    <w:rsid w:val="00DB32FF"/>
    <w:rsid w:val="00DC2EBD"/>
    <w:rsid w:val="00DC3D0D"/>
    <w:rsid w:val="00DC6B82"/>
    <w:rsid w:val="00DC7A6C"/>
    <w:rsid w:val="00DC7D5E"/>
    <w:rsid w:val="00DD470D"/>
    <w:rsid w:val="00DD6246"/>
    <w:rsid w:val="00DD75CE"/>
    <w:rsid w:val="00DE0B6E"/>
    <w:rsid w:val="00DE36AA"/>
    <w:rsid w:val="00DE74A9"/>
    <w:rsid w:val="00DF3179"/>
    <w:rsid w:val="00DF5B06"/>
    <w:rsid w:val="00DF5CFA"/>
    <w:rsid w:val="00DF6D15"/>
    <w:rsid w:val="00E046BC"/>
    <w:rsid w:val="00E06959"/>
    <w:rsid w:val="00E101BA"/>
    <w:rsid w:val="00E1173A"/>
    <w:rsid w:val="00E21FCC"/>
    <w:rsid w:val="00E238EE"/>
    <w:rsid w:val="00E25580"/>
    <w:rsid w:val="00E36C1F"/>
    <w:rsid w:val="00E509A3"/>
    <w:rsid w:val="00E51990"/>
    <w:rsid w:val="00E56516"/>
    <w:rsid w:val="00E63195"/>
    <w:rsid w:val="00E65893"/>
    <w:rsid w:val="00E666C0"/>
    <w:rsid w:val="00E67DC2"/>
    <w:rsid w:val="00E77F98"/>
    <w:rsid w:val="00E8145B"/>
    <w:rsid w:val="00E84BF9"/>
    <w:rsid w:val="00E95229"/>
    <w:rsid w:val="00EA4F9C"/>
    <w:rsid w:val="00EA7130"/>
    <w:rsid w:val="00EB2D75"/>
    <w:rsid w:val="00EC161E"/>
    <w:rsid w:val="00EC1765"/>
    <w:rsid w:val="00ED246E"/>
    <w:rsid w:val="00ED324D"/>
    <w:rsid w:val="00ED76A6"/>
    <w:rsid w:val="00ED7FAD"/>
    <w:rsid w:val="00EE2BFD"/>
    <w:rsid w:val="00EE42ED"/>
    <w:rsid w:val="00EF61FD"/>
    <w:rsid w:val="00F05CC5"/>
    <w:rsid w:val="00F10C41"/>
    <w:rsid w:val="00F11F16"/>
    <w:rsid w:val="00F1318E"/>
    <w:rsid w:val="00F22380"/>
    <w:rsid w:val="00F2464F"/>
    <w:rsid w:val="00F263DE"/>
    <w:rsid w:val="00F30F96"/>
    <w:rsid w:val="00F33426"/>
    <w:rsid w:val="00F34D52"/>
    <w:rsid w:val="00F360BB"/>
    <w:rsid w:val="00F440ED"/>
    <w:rsid w:val="00F44BD1"/>
    <w:rsid w:val="00F65457"/>
    <w:rsid w:val="00F714E5"/>
    <w:rsid w:val="00F8427E"/>
    <w:rsid w:val="00F8729B"/>
    <w:rsid w:val="00F95558"/>
    <w:rsid w:val="00F96D14"/>
    <w:rsid w:val="00FA3AD6"/>
    <w:rsid w:val="00FA3FE7"/>
    <w:rsid w:val="00FB7E67"/>
    <w:rsid w:val="00FC1D12"/>
    <w:rsid w:val="00FD3975"/>
    <w:rsid w:val="00FE0B64"/>
    <w:rsid w:val="00FE0E13"/>
    <w:rsid w:val="00FE6533"/>
    <w:rsid w:val="00FF623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7A35E"/>
  <w15:docId w15:val="{B6A1B5B0-CC14-4769-BF40-D5EA9426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1C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9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74A9"/>
    <w:pPr>
      <w:ind w:left="720"/>
      <w:contextualSpacing/>
    </w:pPr>
  </w:style>
  <w:style w:type="paragraph" w:styleId="NormalWeb">
    <w:name w:val="Normal (Web)"/>
    <w:basedOn w:val="Normal"/>
    <w:uiPriority w:val="99"/>
    <w:unhideWhenUsed/>
    <w:rsid w:val="00C465A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Ttulo2Car">
    <w:name w:val="Título 2 Car"/>
    <w:basedOn w:val="Fuentedeprrafopredeter"/>
    <w:link w:val="Ttulo2"/>
    <w:uiPriority w:val="9"/>
    <w:rsid w:val="009479F8"/>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881CC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81CC0"/>
    <w:pPr>
      <w:outlineLvl w:val="9"/>
    </w:pPr>
    <w:rPr>
      <w:lang w:eastAsia="es-DO"/>
    </w:rPr>
  </w:style>
  <w:style w:type="paragraph" w:styleId="TDC2">
    <w:name w:val="toc 2"/>
    <w:basedOn w:val="Normal"/>
    <w:next w:val="Normal"/>
    <w:autoRedefine/>
    <w:uiPriority w:val="39"/>
    <w:unhideWhenUsed/>
    <w:rsid w:val="00881CC0"/>
    <w:pPr>
      <w:spacing w:after="100"/>
      <w:ind w:left="220"/>
    </w:pPr>
    <w:rPr>
      <w:rFonts w:eastAsiaTheme="minorEastAsia" w:cs="Times New Roman"/>
      <w:lang w:eastAsia="es-DO"/>
    </w:rPr>
  </w:style>
  <w:style w:type="paragraph" w:styleId="TDC1">
    <w:name w:val="toc 1"/>
    <w:basedOn w:val="Normal"/>
    <w:next w:val="Normal"/>
    <w:autoRedefine/>
    <w:uiPriority w:val="39"/>
    <w:unhideWhenUsed/>
    <w:rsid w:val="00881CC0"/>
    <w:pPr>
      <w:spacing w:after="100"/>
    </w:pPr>
    <w:rPr>
      <w:rFonts w:eastAsiaTheme="minorEastAsia" w:cs="Times New Roman"/>
      <w:lang w:eastAsia="es-DO"/>
    </w:rPr>
  </w:style>
  <w:style w:type="paragraph" w:styleId="TDC3">
    <w:name w:val="toc 3"/>
    <w:basedOn w:val="Normal"/>
    <w:next w:val="Normal"/>
    <w:autoRedefine/>
    <w:uiPriority w:val="39"/>
    <w:unhideWhenUsed/>
    <w:rsid w:val="00881CC0"/>
    <w:pPr>
      <w:spacing w:after="100"/>
      <w:ind w:left="440"/>
    </w:pPr>
    <w:rPr>
      <w:rFonts w:eastAsiaTheme="minorEastAsia" w:cs="Times New Roman"/>
      <w:lang w:eastAsia="es-DO"/>
    </w:rPr>
  </w:style>
  <w:style w:type="paragraph" w:customStyle="1" w:styleId="Adelle">
    <w:name w:val="Adelle"/>
    <w:basedOn w:val="Ttulo1"/>
    <w:next w:val="Subttulo"/>
    <w:link w:val="AdelleCar"/>
    <w:qFormat/>
    <w:rsid w:val="00881CC0"/>
    <w:rPr>
      <w:rFonts w:asciiTheme="minorHAnsi" w:hAnsiTheme="minorHAnsi"/>
      <w:b/>
      <w:bCs/>
      <w:color w:val="auto"/>
      <w:sz w:val="24"/>
    </w:rPr>
  </w:style>
  <w:style w:type="character" w:styleId="Hipervnculo">
    <w:name w:val="Hyperlink"/>
    <w:basedOn w:val="Fuentedeprrafopredeter"/>
    <w:uiPriority w:val="99"/>
    <w:unhideWhenUsed/>
    <w:rsid w:val="002D24BC"/>
    <w:rPr>
      <w:color w:val="0563C1" w:themeColor="hyperlink"/>
      <w:u w:val="single"/>
    </w:rPr>
  </w:style>
  <w:style w:type="paragraph" w:styleId="Subttulo">
    <w:name w:val="Subtitle"/>
    <w:basedOn w:val="Normal"/>
    <w:next w:val="Normal"/>
    <w:link w:val="SubttuloCar"/>
    <w:uiPriority w:val="11"/>
    <w:qFormat/>
    <w:rsid w:val="00881CC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1CC0"/>
    <w:rPr>
      <w:rFonts w:eastAsiaTheme="minorEastAsia"/>
      <w:color w:val="5A5A5A" w:themeColor="text1" w:themeTint="A5"/>
      <w:spacing w:val="15"/>
    </w:rPr>
  </w:style>
  <w:style w:type="character" w:customStyle="1" w:styleId="AdelleCar">
    <w:name w:val="Adelle Car"/>
    <w:basedOn w:val="Ttulo1Car"/>
    <w:link w:val="Adelle"/>
    <w:rsid w:val="00881CC0"/>
    <w:rPr>
      <w:rFonts w:asciiTheme="majorHAnsi" w:eastAsiaTheme="majorEastAsia" w:hAnsiTheme="majorHAnsi" w:cstheme="majorBidi"/>
      <w:b/>
      <w:bCs/>
      <w:color w:val="2F5496" w:themeColor="accent1" w:themeShade="BF"/>
      <w:sz w:val="24"/>
      <w:szCs w:val="32"/>
    </w:rPr>
  </w:style>
  <w:style w:type="paragraph" w:styleId="Encabezado">
    <w:name w:val="header"/>
    <w:basedOn w:val="Normal"/>
    <w:link w:val="EncabezadoCar"/>
    <w:uiPriority w:val="99"/>
    <w:unhideWhenUsed/>
    <w:rsid w:val="00C778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876"/>
  </w:style>
  <w:style w:type="paragraph" w:styleId="Piedepgina">
    <w:name w:val="footer"/>
    <w:basedOn w:val="Normal"/>
    <w:link w:val="PiedepginaCar"/>
    <w:uiPriority w:val="99"/>
    <w:unhideWhenUsed/>
    <w:rsid w:val="00C778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876"/>
  </w:style>
  <w:style w:type="character" w:styleId="Refdecomentario">
    <w:name w:val="annotation reference"/>
    <w:basedOn w:val="Fuentedeprrafopredeter"/>
    <w:uiPriority w:val="99"/>
    <w:semiHidden/>
    <w:unhideWhenUsed/>
    <w:rsid w:val="00A02220"/>
    <w:rPr>
      <w:sz w:val="16"/>
      <w:szCs w:val="16"/>
    </w:rPr>
  </w:style>
  <w:style w:type="paragraph" w:styleId="Textocomentario">
    <w:name w:val="annotation text"/>
    <w:basedOn w:val="Normal"/>
    <w:link w:val="TextocomentarioCar"/>
    <w:uiPriority w:val="99"/>
    <w:unhideWhenUsed/>
    <w:rsid w:val="00A02220"/>
    <w:pPr>
      <w:spacing w:line="240" w:lineRule="auto"/>
    </w:pPr>
    <w:rPr>
      <w:sz w:val="20"/>
      <w:szCs w:val="20"/>
    </w:rPr>
  </w:style>
  <w:style w:type="character" w:customStyle="1" w:styleId="TextocomentarioCar">
    <w:name w:val="Texto comentario Car"/>
    <w:basedOn w:val="Fuentedeprrafopredeter"/>
    <w:link w:val="Textocomentario"/>
    <w:uiPriority w:val="99"/>
    <w:rsid w:val="00A02220"/>
    <w:rPr>
      <w:sz w:val="20"/>
      <w:szCs w:val="20"/>
    </w:rPr>
  </w:style>
  <w:style w:type="paragraph" w:styleId="Asuntodelcomentario">
    <w:name w:val="annotation subject"/>
    <w:basedOn w:val="Textocomentario"/>
    <w:next w:val="Textocomentario"/>
    <w:link w:val="AsuntodelcomentarioCar"/>
    <w:uiPriority w:val="99"/>
    <w:semiHidden/>
    <w:unhideWhenUsed/>
    <w:rsid w:val="00A02220"/>
    <w:rPr>
      <w:b/>
      <w:bCs/>
    </w:rPr>
  </w:style>
  <w:style w:type="character" w:customStyle="1" w:styleId="AsuntodelcomentarioCar">
    <w:name w:val="Asunto del comentario Car"/>
    <w:basedOn w:val="TextocomentarioCar"/>
    <w:link w:val="Asuntodelcomentario"/>
    <w:uiPriority w:val="99"/>
    <w:semiHidden/>
    <w:rsid w:val="00A02220"/>
    <w:rPr>
      <w:b/>
      <w:bCs/>
      <w:sz w:val="20"/>
      <w:szCs w:val="20"/>
    </w:rPr>
  </w:style>
  <w:style w:type="paragraph" w:styleId="Textodeglobo">
    <w:name w:val="Balloon Text"/>
    <w:basedOn w:val="Normal"/>
    <w:link w:val="TextodegloboCar"/>
    <w:uiPriority w:val="99"/>
    <w:semiHidden/>
    <w:unhideWhenUsed/>
    <w:rsid w:val="00E631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195"/>
    <w:rPr>
      <w:rFonts w:ascii="Segoe UI" w:hAnsi="Segoe UI" w:cs="Segoe UI"/>
      <w:sz w:val="18"/>
      <w:szCs w:val="18"/>
    </w:rPr>
  </w:style>
  <w:style w:type="character" w:styleId="Textoennegrita">
    <w:name w:val="Strong"/>
    <w:basedOn w:val="Fuentedeprrafopredeter"/>
    <w:uiPriority w:val="22"/>
    <w:qFormat/>
    <w:rsid w:val="00E952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60332">
      <w:bodyDiv w:val="1"/>
      <w:marLeft w:val="0"/>
      <w:marRight w:val="0"/>
      <w:marTop w:val="0"/>
      <w:marBottom w:val="0"/>
      <w:divBdr>
        <w:top w:val="none" w:sz="0" w:space="0" w:color="auto"/>
        <w:left w:val="none" w:sz="0" w:space="0" w:color="auto"/>
        <w:bottom w:val="none" w:sz="0" w:space="0" w:color="auto"/>
        <w:right w:val="none" w:sz="0" w:space="0" w:color="auto"/>
      </w:divBdr>
    </w:div>
    <w:div w:id="162626515">
      <w:bodyDiv w:val="1"/>
      <w:marLeft w:val="0"/>
      <w:marRight w:val="0"/>
      <w:marTop w:val="0"/>
      <w:marBottom w:val="0"/>
      <w:divBdr>
        <w:top w:val="none" w:sz="0" w:space="0" w:color="auto"/>
        <w:left w:val="none" w:sz="0" w:space="0" w:color="auto"/>
        <w:bottom w:val="none" w:sz="0" w:space="0" w:color="auto"/>
        <w:right w:val="none" w:sz="0" w:space="0" w:color="auto"/>
      </w:divBdr>
    </w:div>
    <w:div w:id="437331874">
      <w:bodyDiv w:val="1"/>
      <w:marLeft w:val="0"/>
      <w:marRight w:val="0"/>
      <w:marTop w:val="0"/>
      <w:marBottom w:val="0"/>
      <w:divBdr>
        <w:top w:val="none" w:sz="0" w:space="0" w:color="auto"/>
        <w:left w:val="none" w:sz="0" w:space="0" w:color="auto"/>
        <w:bottom w:val="none" w:sz="0" w:space="0" w:color="auto"/>
        <w:right w:val="none" w:sz="0" w:space="0" w:color="auto"/>
      </w:divBdr>
    </w:div>
    <w:div w:id="1221095682">
      <w:bodyDiv w:val="1"/>
      <w:marLeft w:val="0"/>
      <w:marRight w:val="0"/>
      <w:marTop w:val="0"/>
      <w:marBottom w:val="0"/>
      <w:divBdr>
        <w:top w:val="none" w:sz="0" w:space="0" w:color="auto"/>
        <w:left w:val="none" w:sz="0" w:space="0" w:color="auto"/>
        <w:bottom w:val="none" w:sz="0" w:space="0" w:color="auto"/>
        <w:right w:val="none" w:sz="0" w:space="0" w:color="auto"/>
      </w:divBdr>
    </w:div>
    <w:div w:id="1422873240">
      <w:bodyDiv w:val="1"/>
      <w:marLeft w:val="0"/>
      <w:marRight w:val="0"/>
      <w:marTop w:val="0"/>
      <w:marBottom w:val="0"/>
      <w:divBdr>
        <w:top w:val="none" w:sz="0" w:space="0" w:color="auto"/>
        <w:left w:val="none" w:sz="0" w:space="0" w:color="auto"/>
        <w:bottom w:val="none" w:sz="0" w:space="0" w:color="auto"/>
        <w:right w:val="none" w:sz="0" w:space="0" w:color="auto"/>
      </w:divBdr>
    </w:div>
    <w:div w:id="1552300781">
      <w:bodyDiv w:val="1"/>
      <w:marLeft w:val="0"/>
      <w:marRight w:val="0"/>
      <w:marTop w:val="0"/>
      <w:marBottom w:val="0"/>
      <w:divBdr>
        <w:top w:val="none" w:sz="0" w:space="0" w:color="auto"/>
        <w:left w:val="none" w:sz="0" w:space="0" w:color="auto"/>
        <w:bottom w:val="none" w:sz="0" w:space="0" w:color="auto"/>
        <w:right w:val="none" w:sz="0" w:space="0" w:color="auto"/>
      </w:divBdr>
    </w:div>
    <w:div w:id="1715733307">
      <w:bodyDiv w:val="1"/>
      <w:marLeft w:val="0"/>
      <w:marRight w:val="0"/>
      <w:marTop w:val="0"/>
      <w:marBottom w:val="0"/>
      <w:divBdr>
        <w:top w:val="none" w:sz="0" w:space="0" w:color="auto"/>
        <w:left w:val="none" w:sz="0" w:space="0" w:color="auto"/>
        <w:bottom w:val="none" w:sz="0" w:space="0" w:color="auto"/>
        <w:right w:val="none" w:sz="0" w:space="0" w:color="auto"/>
      </w:divBdr>
    </w:div>
    <w:div w:id="1742826467">
      <w:bodyDiv w:val="1"/>
      <w:marLeft w:val="0"/>
      <w:marRight w:val="0"/>
      <w:marTop w:val="0"/>
      <w:marBottom w:val="0"/>
      <w:divBdr>
        <w:top w:val="none" w:sz="0" w:space="0" w:color="auto"/>
        <w:left w:val="none" w:sz="0" w:space="0" w:color="auto"/>
        <w:bottom w:val="none" w:sz="0" w:space="0" w:color="auto"/>
        <w:right w:val="none" w:sz="0" w:space="0" w:color="auto"/>
      </w:divBdr>
    </w:div>
    <w:div w:id="1791514359">
      <w:bodyDiv w:val="1"/>
      <w:marLeft w:val="0"/>
      <w:marRight w:val="0"/>
      <w:marTop w:val="0"/>
      <w:marBottom w:val="0"/>
      <w:divBdr>
        <w:top w:val="none" w:sz="0" w:space="0" w:color="auto"/>
        <w:left w:val="none" w:sz="0" w:space="0" w:color="auto"/>
        <w:bottom w:val="none" w:sz="0" w:space="0" w:color="auto"/>
        <w:right w:val="none" w:sz="0" w:space="0" w:color="auto"/>
      </w:divBdr>
    </w:div>
    <w:div w:id="1837766687">
      <w:bodyDiv w:val="1"/>
      <w:marLeft w:val="0"/>
      <w:marRight w:val="0"/>
      <w:marTop w:val="0"/>
      <w:marBottom w:val="0"/>
      <w:divBdr>
        <w:top w:val="none" w:sz="0" w:space="0" w:color="auto"/>
        <w:left w:val="none" w:sz="0" w:space="0" w:color="auto"/>
        <w:bottom w:val="none" w:sz="0" w:space="0" w:color="auto"/>
        <w:right w:val="none" w:sz="0" w:space="0" w:color="auto"/>
      </w:divBdr>
    </w:div>
    <w:div w:id="191439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yanet\Downloads\Comparativo%20de%20fertilizantes%20enero-junio%202024%20vs%202025%20(22-9-25)%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70998430826174E-2"/>
          <c:y val="0.10847026197197047"/>
          <c:w val="0.93006340025191225"/>
          <c:h val="0.6663285640087383"/>
        </c:manualLayout>
      </c:layout>
      <c:barChart>
        <c:barDir val="col"/>
        <c:grouping val="clustered"/>
        <c:varyColors val="0"/>
        <c:ser>
          <c:idx val="0"/>
          <c:order val="0"/>
          <c:tx>
            <c:strRef>
              <c:f>Hoja2!$B$18</c:f>
              <c:strCache>
                <c:ptCount val="1"/>
                <c:pt idx="0">
                  <c:v>Enero-Junio 2024</c:v>
                </c:pt>
              </c:strCache>
            </c:strRef>
          </c:tx>
          <c:spPr>
            <a:solidFill>
              <a:schemeClr val="accent1"/>
            </a:solidFill>
            <a:ln>
              <a:noFill/>
            </a:ln>
            <a:effectLst/>
          </c:spPr>
          <c:invertIfNegative val="0"/>
          <c:cat>
            <c:strRef>
              <c:f>Hoja2!$A$19:$A$25</c:f>
              <c:strCache>
                <c:ptCount val="7"/>
                <c:pt idx="0">
                  <c:v>12-24-12</c:v>
                </c:pt>
                <c:pt idx="1">
                  <c:v>15-15-15</c:v>
                </c:pt>
                <c:pt idx="2">
                  <c:v>Sulfato de Amonio</c:v>
                </c:pt>
                <c:pt idx="3">
                  <c:v>Sulfato de Potasio (0-0-185)</c:v>
                </c:pt>
                <c:pt idx="4">
                  <c:v>Urea (46-0-0)</c:v>
                </c:pt>
                <c:pt idx="5">
                  <c:v> Sulfato de Amonio  Granulado</c:v>
                </c:pt>
                <c:pt idx="6">
                  <c:v>Super Fosfato Triple (0-46-0)</c:v>
                </c:pt>
              </c:strCache>
            </c:strRef>
          </c:cat>
          <c:val>
            <c:numRef>
              <c:f>Hoja2!$B$19:$B$25</c:f>
              <c:numCache>
                <c:formatCode>_(* #,##0_);_(* \(#,##0\);_(* "-"??_);_(@_)</c:formatCode>
                <c:ptCount val="7"/>
                <c:pt idx="0">
                  <c:v>2011.7066666666667</c:v>
                </c:pt>
                <c:pt idx="1">
                  <c:v>2144.4933333333333</c:v>
                </c:pt>
                <c:pt idx="2">
                  <c:v>1383.2537500000001</c:v>
                </c:pt>
                <c:pt idx="3">
                  <c:v>2906.8349999999996</c:v>
                </c:pt>
                <c:pt idx="4">
                  <c:v>1880.105</c:v>
                </c:pt>
                <c:pt idx="5">
                  <c:v>1391.7416666666668</c:v>
                </c:pt>
                <c:pt idx="6">
                  <c:v>2132.1637499999997</c:v>
                </c:pt>
              </c:numCache>
            </c:numRef>
          </c:val>
          <c:extLst>
            <c:ext xmlns:c16="http://schemas.microsoft.com/office/drawing/2014/chart" uri="{C3380CC4-5D6E-409C-BE32-E72D297353CC}">
              <c16:uniqueId val="{00000000-865B-43A0-8007-560B369BD4D2}"/>
            </c:ext>
          </c:extLst>
        </c:ser>
        <c:ser>
          <c:idx val="1"/>
          <c:order val="1"/>
          <c:tx>
            <c:strRef>
              <c:f>Hoja2!$C$18</c:f>
              <c:strCache>
                <c:ptCount val="1"/>
                <c:pt idx="0">
                  <c:v>Enero-Junio 2025</c:v>
                </c:pt>
              </c:strCache>
            </c:strRef>
          </c:tx>
          <c:spPr>
            <a:solidFill>
              <a:schemeClr val="accent2"/>
            </a:solidFill>
            <a:ln>
              <a:noFill/>
            </a:ln>
            <a:effectLst/>
          </c:spPr>
          <c:invertIfNegative val="0"/>
          <c:cat>
            <c:strRef>
              <c:f>Hoja2!$A$19:$A$25</c:f>
              <c:strCache>
                <c:ptCount val="7"/>
                <c:pt idx="0">
                  <c:v>12-24-12</c:v>
                </c:pt>
                <c:pt idx="1">
                  <c:v>15-15-15</c:v>
                </c:pt>
                <c:pt idx="2">
                  <c:v>Sulfato de Amonio</c:v>
                </c:pt>
                <c:pt idx="3">
                  <c:v>Sulfato de Potasio (0-0-185)</c:v>
                </c:pt>
                <c:pt idx="4">
                  <c:v>Urea (46-0-0)</c:v>
                </c:pt>
                <c:pt idx="5">
                  <c:v> Sulfato de Amonio  Granulado</c:v>
                </c:pt>
                <c:pt idx="6">
                  <c:v>Super Fosfato Triple (0-46-0)</c:v>
                </c:pt>
              </c:strCache>
            </c:strRef>
          </c:cat>
          <c:val>
            <c:numRef>
              <c:f>Hoja2!$C$19:$C$25</c:f>
              <c:numCache>
                <c:formatCode>_(* #,##0_);_(* \(#,##0\);_(* "-"??_);_(@_)</c:formatCode>
                <c:ptCount val="7"/>
                <c:pt idx="0">
                  <c:v>2113.4097222222222</c:v>
                </c:pt>
                <c:pt idx="1">
                  <c:v>1951.5208333333333</c:v>
                </c:pt>
                <c:pt idx="2">
                  <c:v>1348.5208333333333</c:v>
                </c:pt>
                <c:pt idx="3">
                  <c:v>2264.7375000000002</c:v>
                </c:pt>
                <c:pt idx="4">
                  <c:v>2114.25</c:v>
                </c:pt>
                <c:pt idx="5">
                  <c:v>1448.5</c:v>
                </c:pt>
                <c:pt idx="6">
                  <c:v>2316.42</c:v>
                </c:pt>
              </c:numCache>
            </c:numRef>
          </c:val>
          <c:extLst>
            <c:ext xmlns:c16="http://schemas.microsoft.com/office/drawing/2014/chart" uri="{C3380CC4-5D6E-409C-BE32-E72D297353CC}">
              <c16:uniqueId val="{00000001-865B-43A0-8007-560B369BD4D2}"/>
            </c:ext>
          </c:extLst>
        </c:ser>
        <c:dLbls>
          <c:showLegendKey val="0"/>
          <c:showVal val="0"/>
          <c:showCatName val="0"/>
          <c:showSerName val="0"/>
          <c:showPercent val="0"/>
          <c:showBubbleSize val="0"/>
        </c:dLbls>
        <c:gapWidth val="219"/>
        <c:overlap val="-27"/>
        <c:axId val="591209632"/>
        <c:axId val="591212960"/>
      </c:barChart>
      <c:catAx>
        <c:axId val="591209632"/>
        <c:scaling>
          <c:orientation val="minMax"/>
        </c:scaling>
        <c:delete val="1"/>
        <c:axPos val="b"/>
        <c:numFmt formatCode="General" sourceLinked="1"/>
        <c:majorTickMark val="none"/>
        <c:minorTickMark val="none"/>
        <c:tickLblPos val="nextTo"/>
        <c:crossAx val="591212960"/>
        <c:crosses val="autoZero"/>
        <c:auto val="1"/>
        <c:lblAlgn val="ctr"/>
        <c:lblOffset val="100"/>
        <c:noMultiLvlLbl val="0"/>
      </c:catAx>
      <c:valAx>
        <c:axId val="591212960"/>
        <c:scaling>
          <c:orientation val="minMax"/>
          <c:min val="500"/>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591209632"/>
        <c:crosses val="autoZero"/>
        <c:crossBetween val="between"/>
        <c:minorUnit val="60"/>
      </c:valAx>
      <c:spPr>
        <a:noFill/>
        <a:ln>
          <a:noFill/>
        </a:ln>
        <a:effectLst/>
      </c:spPr>
    </c:plotArea>
    <c:legend>
      <c:legendPos val="r"/>
      <c:layout>
        <c:manualLayout>
          <c:xMode val="edge"/>
          <c:yMode val="edge"/>
          <c:x val="9.3374638491904347E-2"/>
          <c:y val="0.85869558757985442"/>
          <c:w val="0.86549330462378526"/>
          <c:h val="6.525892421367479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D347-A826-4F04-95D1-11DD2FA2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2975</Words>
  <Characters>16367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Contreras</dc:creator>
  <cp:keywords/>
  <dc:description/>
  <cp:lastModifiedBy>Jannette Leo</cp:lastModifiedBy>
  <cp:revision>2</cp:revision>
  <dcterms:created xsi:type="dcterms:W3CDTF">2025-10-13T17:14:00Z</dcterms:created>
  <dcterms:modified xsi:type="dcterms:W3CDTF">2025-10-13T17:14:00Z</dcterms:modified>
</cp:coreProperties>
</file>