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BE4B15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Octubre-Diciembre</w:t>
      </w:r>
      <w:r w:rsidR="00713F22"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 2016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BE4B15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pt-BR"/>
        </w:rPr>
        <w:t>Enero</w:t>
      </w:r>
      <w:proofErr w:type="spellEnd"/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>
        <w:rPr>
          <w:rFonts w:asciiTheme="minorHAnsi" w:hAnsiTheme="minorHAnsi" w:cstheme="minorHAnsi"/>
          <w:sz w:val="32"/>
          <w:szCs w:val="32"/>
          <w:lang w:val="pt-BR"/>
        </w:rPr>
        <w:t>7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bookmarkStart w:id="0" w:name="_GoBack"/>
        <w:p w:rsidR="00B50F19" w:rsidRPr="00B50F19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r w:rsidRPr="00B50F19">
            <w:rPr>
              <w:rFonts w:asciiTheme="minorHAnsi" w:hAnsiTheme="minorHAnsi" w:cstheme="minorHAnsi"/>
              <w:sz w:val="26"/>
              <w:szCs w:val="26"/>
            </w:rPr>
            <w:fldChar w:fldCharType="begin"/>
          </w:r>
          <w:r w:rsidRPr="00B50F19">
            <w:rPr>
              <w:rFonts w:asciiTheme="minorHAnsi" w:hAnsiTheme="minorHAnsi" w:cstheme="minorHAnsi"/>
              <w:sz w:val="26"/>
              <w:szCs w:val="26"/>
            </w:rPr>
            <w:instrText xml:space="preserve"> TOC \o "1-3" \h \z \u </w:instrText>
          </w:r>
          <w:r w:rsidRPr="00B50F19">
            <w:rPr>
              <w:rFonts w:asciiTheme="minorHAnsi" w:hAnsiTheme="minorHAnsi" w:cstheme="minorHAnsi"/>
              <w:sz w:val="26"/>
              <w:szCs w:val="26"/>
            </w:rPr>
            <w:fldChar w:fldCharType="separate"/>
          </w:r>
          <w:hyperlink w:anchor="_Toc472002389" w:history="1">
            <w:r w:rsidR="00B50F19"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DO"/>
              </w:rPr>
              <w:t>Introducción</w:t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_Toc472002389 \h </w:instrText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2</w:t>
            </w:r>
            <w:r w:rsidR="00B50F19"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0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Solicitudes de información de ciudadanos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_Toc472002390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1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Consultas de información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_Toc472002391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2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Sistema 311 de Atención Ciudadana (Quejas, Reclamaciones y Sugerencias)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_Toc472002392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5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3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Actividades realizadas por la Oficina de Acceso a la Información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_Toc472002393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4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de la Responsable de Acceso a la Información en Comités y Comisiones del Ministerio de Agricultura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_Toc472002394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50F19" w:rsidRPr="00B50F19" w:rsidRDefault="00B50F19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2002395" w:history="1">
            <w:r w:rsidRPr="00B50F19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en Eventos y Reuniones de la Responsable de Acceso a la Información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_Toc472002395 \h </w:instrTex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7</w:t>
            </w:r>
            <w:r w:rsidRPr="00B50F19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4FC7" w:rsidRDefault="00154FC7">
          <w:r w:rsidRPr="00B50F19">
            <w:rPr>
              <w:rFonts w:asciiTheme="minorHAnsi" w:hAnsiTheme="minorHAnsi" w:cstheme="minorHAnsi"/>
              <w:b/>
              <w:bCs/>
              <w:sz w:val="26"/>
              <w:szCs w:val="26"/>
              <w:lang w:val="es-ES"/>
            </w:rPr>
            <w:fldChar w:fldCharType="end"/>
          </w:r>
        </w:p>
        <w:bookmarkEnd w:id="0" w:displacedByCustomXml="next"/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1" w:name="_Toc472002389"/>
      <w:r w:rsidRPr="00E46ACB">
        <w:rPr>
          <w:rFonts w:asciiTheme="minorHAnsi" w:hAnsiTheme="minorHAnsi" w:cstheme="minorHAnsi"/>
          <w:lang w:val="es-DO"/>
        </w:rPr>
        <w:lastRenderedPageBreak/>
        <w:t>Introducción</w:t>
      </w:r>
      <w:bookmarkEnd w:id="1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Octubre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Diciembre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2016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63A8D" w:rsidRDefault="00B63A8D" w:rsidP="00E46ACB">
      <w:pPr>
        <w:pStyle w:val="Ttulo1"/>
        <w:rPr>
          <w:rFonts w:asciiTheme="minorHAnsi" w:hAnsiTheme="minorHAnsi" w:cstheme="minorHAnsi"/>
          <w:lang w:val="es-ES"/>
        </w:rPr>
      </w:pPr>
    </w:p>
    <w:p w:rsidR="00B63A8D" w:rsidRDefault="00B63A8D" w:rsidP="00E46ACB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2" w:name="_Toc472002390"/>
      <w:r>
        <w:rPr>
          <w:rFonts w:asciiTheme="minorHAnsi" w:hAnsiTheme="minorHAnsi" w:cstheme="minorHAnsi"/>
          <w:lang w:val="es-ES"/>
        </w:rPr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2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5698B" w:rsidRDefault="002B774E" w:rsidP="000E2D83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proofErr w:type="gramStart"/>
      <w:r w:rsidR="00BE4B15">
        <w:rPr>
          <w:rFonts w:asciiTheme="minorHAnsi" w:hAnsiTheme="minorHAnsi" w:cstheme="minorHAnsi"/>
          <w:sz w:val="26"/>
          <w:szCs w:val="26"/>
          <w:lang w:val="es-ES"/>
        </w:rPr>
        <w:t>Octubre</w:t>
      </w:r>
      <w:proofErr w:type="gramEnd"/>
      <w:r w:rsidR="00B63A8D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B63A8D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Diciembre</w:t>
      </w:r>
      <w:r w:rsidR="00DE2624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>17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respondieron 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BE0E1D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del plazo que contempla la Ley 200-04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 xml:space="preserve"> y una</w:t>
      </w:r>
      <w:r w:rsidR="00AE6F9F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AE6F9F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solicitud fue remitida a otra 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>institución</w:t>
      </w:r>
      <w:r w:rsidR="00DF624A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0303EB" w:rsidRPr="000303EB">
        <w:rPr>
          <w:rFonts w:asciiTheme="minorHAnsi" w:hAnsiTheme="minorHAnsi" w:cstheme="minorHAnsi"/>
          <w:sz w:val="26"/>
          <w:szCs w:val="26"/>
          <w:lang w:val="es-ES"/>
        </w:rPr>
        <w:t>competente conforme lo estipula el Artículo 16 del Reglamento 130-05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A328B1" w:rsidRDefault="00A328B1" w:rsidP="000E2D83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BF04B9" w:rsidRPr="000E2D83" w:rsidRDefault="00A328B1" w:rsidP="000E2D83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638587A3" wp14:editId="203B5636">
            <wp:extent cx="5671185" cy="28448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704" w:rsidRPr="000E2D83" w:rsidRDefault="000E2D83" w:rsidP="002B774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 w:rsidRPr="000E2D83">
        <w:rPr>
          <w:rFonts w:asciiTheme="minorHAnsi" w:hAnsiTheme="minorHAnsi" w:cstheme="minorHAnsi"/>
          <w:color w:val="FF0000"/>
          <w:sz w:val="32"/>
          <w:szCs w:val="32"/>
          <w:lang w:val="es-ES"/>
        </w:rPr>
        <w:t xml:space="preserve"> </w:t>
      </w:r>
    </w:p>
    <w:p w:rsidR="000E2D83" w:rsidRPr="00966F61" w:rsidRDefault="000E2D83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3" w:name="_Toc472002391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3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20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respondieron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17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consultas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y tres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) fueron remitidas a otras instituciones competentes para </w:t>
      </w:r>
      <w:r w:rsidR="00AC3ADB" w:rsidRPr="00251A0E">
        <w:rPr>
          <w:rFonts w:asciiTheme="minorHAnsi" w:hAnsiTheme="minorHAnsi" w:cstheme="minorHAnsi"/>
          <w:sz w:val="26"/>
          <w:szCs w:val="26"/>
          <w:lang w:val="es-ES"/>
        </w:rPr>
        <w:t>ser atendidas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92E85" w:rsidRDefault="00392E85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251A0E" w:rsidRPr="000E2D83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342C43" w:rsidRPr="00966F61" w:rsidRDefault="0054710F" w:rsidP="00B63A8D">
      <w:pPr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6C53E80C" wp14:editId="365333C2">
            <wp:extent cx="4886325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E85" w:rsidRDefault="00392E85" w:rsidP="00251A0E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4" w:name="_Toc472002392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75224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BE4B15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fueron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>introducidas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0 quejas, 0 denuncias, 0 sugerencias y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>cuatro (4) reclamaciones, dos (2) de las cuales se cerraron inmediatamente pues un mismo caso fue introducido tres veces en la plataforma, y los otros dos (2) casos fueron remitidos a los departamentos correspondientes para su atención, habiéndose respondido uno (1) y quedando uno (1) pendiente de completar.</w:t>
      </w:r>
    </w:p>
    <w:p w:rsidR="007B314C" w:rsidRDefault="007B314C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7B314C" w:rsidRDefault="007B314C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B63A8D" w:rsidRDefault="007B314C" w:rsidP="007B314C">
      <w:pPr>
        <w:spacing w:line="360" w:lineRule="auto"/>
        <w:contextualSpacing/>
        <w:jc w:val="center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58648D65" wp14:editId="70CB1F11">
            <wp:extent cx="4572000" cy="23241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3B95" w:rsidRDefault="00023B95" w:rsidP="00A45F0E">
      <w:pPr>
        <w:pStyle w:val="Ttulo1"/>
        <w:rPr>
          <w:rFonts w:asciiTheme="minorHAnsi" w:hAnsiTheme="minorHAnsi" w:cstheme="minorHAnsi"/>
          <w:lang w:val="es-ES"/>
        </w:rPr>
      </w:pP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5" w:name="_Toc472002393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5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proofErr w:type="gramStart"/>
      <w:r w:rsidR="00BE4B15">
        <w:rPr>
          <w:rFonts w:asciiTheme="minorHAnsi" w:hAnsiTheme="minorHAnsi" w:cstheme="minorHAnsi"/>
          <w:sz w:val="26"/>
          <w:szCs w:val="26"/>
          <w:lang w:val="es-ES" w:eastAsia="es-DO"/>
        </w:rPr>
        <w:t>Octubre-Diciembre</w:t>
      </w:r>
      <w:proofErr w:type="gramEnd"/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Pr="00A45F0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proofErr w:type="gramStart"/>
      <w:r w:rsidR="00BE4B15">
        <w:rPr>
          <w:rFonts w:asciiTheme="minorHAnsi" w:hAnsiTheme="minorHAnsi" w:cstheme="minorHAnsi"/>
          <w:sz w:val="26"/>
          <w:szCs w:val="26"/>
          <w:lang w:val="es-ES" w:eastAsia="es-DO"/>
        </w:rPr>
        <w:t>Julio-Septiembre</w:t>
      </w:r>
      <w:proofErr w:type="gramEnd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2016.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Pr="00A45F0E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5B0622" w:rsidRPr="00966F61" w:rsidRDefault="005B0622" w:rsidP="005B0622">
      <w:pPr>
        <w:pStyle w:val="Prrafodelista"/>
        <w:jc w:val="both"/>
        <w:rPr>
          <w:rFonts w:asciiTheme="minorHAnsi" w:hAnsiTheme="minorHAnsi" w:cstheme="minorHAnsi"/>
          <w:sz w:val="32"/>
          <w:szCs w:val="32"/>
          <w:lang w:val="es-ES" w:eastAsia="es-DO"/>
        </w:rPr>
      </w:pP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6" w:name="_Toc472002394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7" w:name="OLE_LINK3"/>
      <w:bookmarkStart w:id="8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9" w:name="OLE_LINK1"/>
      <w:bookmarkStart w:id="10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9"/>
      <w:bookmarkEnd w:id="10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7"/>
      <w:bookmarkEnd w:id="8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6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proofErr w:type="gramStart"/>
      <w:r w:rsidR="00BE4B15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seis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Pr="00A45F0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cuatro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4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023B95" w:rsidRDefault="00023B95" w:rsidP="001C6256">
      <w:pPr>
        <w:pStyle w:val="Ttulo1"/>
        <w:rPr>
          <w:rFonts w:asciiTheme="minorHAnsi" w:hAnsiTheme="minorHAnsi" w:cstheme="minorHAnsi"/>
          <w:lang w:val="es-ES"/>
        </w:rPr>
      </w:pP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1" w:name="_Toc472002395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1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Pr="001C6256" w:rsidRDefault="00CD618A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D618A">
        <w:rPr>
          <w:rFonts w:asciiTheme="minorHAnsi" w:hAnsiTheme="minorHAnsi" w:cstheme="minorHAnsi"/>
          <w:sz w:val="26"/>
          <w:szCs w:val="26"/>
          <w:u w:val="single"/>
          <w:lang w:val="es-ES"/>
        </w:rPr>
        <w:t>Los Datos Abiertos como una oportunidad para los desafíos de la Administración P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ú</w:t>
      </w:r>
      <w:r w:rsidRPr="00CD618A">
        <w:rPr>
          <w:rFonts w:asciiTheme="minorHAnsi" w:hAnsiTheme="minorHAnsi" w:cstheme="minorHAnsi"/>
          <w:sz w:val="26"/>
          <w:szCs w:val="26"/>
          <w:u w:val="single"/>
          <w:lang w:val="es-ES"/>
        </w:rPr>
        <w:t>blica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D72AF8" w:rsidRPr="001C6256"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19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octubre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2016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91BAE" w:rsidRPr="001C6256" w:rsidRDefault="0017083F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17083F">
        <w:rPr>
          <w:rFonts w:asciiTheme="minorHAnsi" w:hAnsiTheme="minorHAnsi" w:cstheme="minorHAnsi"/>
          <w:sz w:val="26"/>
          <w:szCs w:val="26"/>
          <w:u w:val="single"/>
          <w:lang w:val="es-ES"/>
        </w:rPr>
        <w:t>Presentación final del Portal Único de Solicitud de Acceso a la Información (SAIP).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B5EC5" w:rsidRPr="001C6256">
        <w:rPr>
          <w:rFonts w:asciiTheme="minorHAnsi" w:hAnsiTheme="minorHAnsi" w:cstheme="minorHAnsi"/>
          <w:sz w:val="26"/>
          <w:szCs w:val="26"/>
          <w:lang w:val="es-ES"/>
        </w:rPr>
        <w:t>Dirección General de Ética e Integridad Gubernamental (DIGEIG)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noviembre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61BFB" w:rsidRPr="001C6256" w:rsidRDefault="00D70566" w:rsidP="00D70566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70566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Taller Práctico para </w:t>
      </w:r>
      <w:proofErr w:type="spellStart"/>
      <w:r w:rsidRPr="00D70566">
        <w:rPr>
          <w:rFonts w:asciiTheme="minorHAnsi" w:hAnsiTheme="minorHAnsi" w:cstheme="minorHAnsi"/>
          <w:sz w:val="26"/>
          <w:szCs w:val="26"/>
          <w:u w:val="single"/>
          <w:lang w:val="es-ES"/>
        </w:rPr>
        <w:t>RAIs</w:t>
      </w:r>
      <w:proofErr w:type="spellEnd"/>
      <w:r w:rsidRPr="00D70566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 del Portal Transaccional de Compras y Contrataciones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B5EC5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 w:rsidR="005B5EC5">
        <w:rPr>
          <w:rFonts w:asciiTheme="minorHAnsi" w:hAnsiTheme="minorHAnsi" w:cstheme="minorHAnsi"/>
          <w:sz w:val="26"/>
          <w:szCs w:val="26"/>
          <w:lang w:val="es-ES"/>
        </w:rPr>
        <w:t>Compras y Contrataciones Públicas, 15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 w:rsidR="005B5EC5">
        <w:rPr>
          <w:rFonts w:asciiTheme="minorHAnsi" w:hAnsiTheme="minorHAnsi" w:cstheme="minorHAnsi"/>
          <w:sz w:val="26"/>
          <w:szCs w:val="26"/>
          <w:lang w:val="es-ES"/>
        </w:rPr>
        <w:t>noviembre</w:t>
      </w:r>
      <w:r w:rsidR="00861BF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2016.</w:t>
      </w:r>
    </w:p>
    <w:p w:rsidR="00861BFB" w:rsidRPr="001C6256" w:rsidRDefault="00861BFB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sectPr w:rsidR="00861BFB" w:rsidRPr="001C6256" w:rsidSect="00F44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31" w:rsidRDefault="00670A31">
      <w:r>
        <w:separator/>
      </w:r>
    </w:p>
  </w:endnote>
  <w:endnote w:type="continuationSeparator" w:id="0">
    <w:p w:rsidR="00670A31" w:rsidRDefault="006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9D" w:rsidRDefault="00F4439D">
    <w:pPr>
      <w:pStyle w:val="Piedepgina"/>
      <w:jc w:val="right"/>
    </w:pPr>
  </w:p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31" w:rsidRDefault="00670A31">
      <w:r>
        <w:separator/>
      </w:r>
    </w:p>
  </w:footnote>
  <w:footnote w:type="continuationSeparator" w:id="0">
    <w:p w:rsidR="00670A31" w:rsidRDefault="0067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24A8"/>
    <w:rsid w:val="00013C70"/>
    <w:rsid w:val="00013ED8"/>
    <w:rsid w:val="00014C50"/>
    <w:rsid w:val="00023B95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24E4"/>
    <w:rsid w:val="000C3083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D80"/>
    <w:rsid w:val="00145AB1"/>
    <w:rsid w:val="00146D9F"/>
    <w:rsid w:val="001549DF"/>
    <w:rsid w:val="00154C7E"/>
    <w:rsid w:val="00154FC7"/>
    <w:rsid w:val="001574A2"/>
    <w:rsid w:val="00164009"/>
    <w:rsid w:val="0016419F"/>
    <w:rsid w:val="00164FC5"/>
    <w:rsid w:val="0017083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FEF"/>
    <w:rsid w:val="001D04F9"/>
    <w:rsid w:val="001D334C"/>
    <w:rsid w:val="001E4C8C"/>
    <w:rsid w:val="001E7013"/>
    <w:rsid w:val="001F23F0"/>
    <w:rsid w:val="001F42D9"/>
    <w:rsid w:val="001F6635"/>
    <w:rsid w:val="00200968"/>
    <w:rsid w:val="00202CB2"/>
    <w:rsid w:val="00202F65"/>
    <w:rsid w:val="0020311E"/>
    <w:rsid w:val="002042F4"/>
    <w:rsid w:val="002055D3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4049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1B42"/>
    <w:rsid w:val="005B5EC5"/>
    <w:rsid w:val="005B7E34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5876"/>
    <w:rsid w:val="00636302"/>
    <w:rsid w:val="00636448"/>
    <w:rsid w:val="0063779E"/>
    <w:rsid w:val="0064162E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E7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5B3A"/>
    <w:rsid w:val="008F6398"/>
    <w:rsid w:val="00904803"/>
    <w:rsid w:val="0090655B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7AC8"/>
    <w:rsid w:val="009B07D5"/>
    <w:rsid w:val="009B1355"/>
    <w:rsid w:val="009C3F4D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234A"/>
    <w:rsid w:val="00B42501"/>
    <w:rsid w:val="00B439ED"/>
    <w:rsid w:val="00B50F19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34DC"/>
    <w:rsid w:val="00B86895"/>
    <w:rsid w:val="00B90480"/>
    <w:rsid w:val="00B90CD6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9E6"/>
    <w:rsid w:val="00BE4561"/>
    <w:rsid w:val="00BE4B15"/>
    <w:rsid w:val="00BF04B9"/>
    <w:rsid w:val="00BF09B9"/>
    <w:rsid w:val="00BF0C20"/>
    <w:rsid w:val="00BF1F71"/>
    <w:rsid w:val="00BF3195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dia%20chantal\Documents\OAI%20A&#241;o%202017%20CHO\Comunicaciones\Enero\Tablas%20para%20Informes\Trimestral\Tabla%20casos%20311%20T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5541269005322"/>
          <c:y val="0.20396139713305067"/>
          <c:w val="0.37636630657709386"/>
          <c:h val="0.709884756713103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-2.7817754428331044E-2"/>
                  <c:y val="3.43213406016555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'Solicitudes atendidas'!$H$6:$H$9</c:f>
              <c:strCache>
                <c:ptCount val="4"/>
                <c:pt idx="0">
                  <c:v>Solicitudes respondidas dentro del plazo de los 15 dias</c:v>
                </c:pt>
                <c:pt idx="1">
                  <c:v>Uso de Prorroga </c:v>
                </c:pt>
                <c:pt idx="2">
                  <c:v>Solicitudes rechazadas por no cumplir con lo establecido por la Ley 200-04</c:v>
                </c:pt>
                <c:pt idx="3">
                  <c:v>Remitidas a otras Institutuciones</c:v>
                </c:pt>
              </c:strCache>
            </c:strRef>
          </c:cat>
          <c:val>
            <c:numRef>
              <c:f>'Solicitudes atendidas'!$I$6:$I$9</c:f>
              <c:numCache>
                <c:formatCode>_-* #,##0.00_-;\-* #,##0.00_-;_-* "-"??_-;_-@_-</c:formatCode>
                <c:ptCount val="4"/>
                <c:pt idx="0">
                  <c:v>94.117647058823522</c:v>
                </c:pt>
                <c:pt idx="1">
                  <c:v>0</c:v>
                </c:pt>
                <c:pt idx="2">
                  <c:v>0</c:v>
                </c:pt>
                <c:pt idx="3">
                  <c:v>5.8823529411764701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522506668721868"/>
          <c:y val="0.24762495457298606"/>
          <c:w val="0.3536637936571142"/>
          <c:h val="0.6646476882697355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'Consultas Trimestre'!$E$6:$E$7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de informaciones enviadas a otras Instituciones</c:v>
                </c:pt>
              </c:strCache>
            </c:strRef>
          </c:cat>
          <c:val>
            <c:numRef>
              <c:f>'Consultas Trimestre'!$F$6:$F$7</c:f>
              <c:numCache>
                <c:formatCode>_(* #,##0_);_(* \(#,##0\);_(* "-"??_);_(@_)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'Cuadro por tipo de casos'!$B$5</c:f>
              <c:strCache>
                <c:ptCount val="1"/>
                <c:pt idx="0">
                  <c:v>Quejas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'Cuadro por tipo de casos'!$B$6:$B$17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'Cuadro por tipo de casos'!$C$5</c:f>
              <c:strCache>
                <c:ptCount val="1"/>
                <c:pt idx="0">
                  <c:v>Reclamaciones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'Cuadro por tipo de casos'!$C$6:$C$17</c:f>
              <c:numCache>
                <c:formatCode>_(* #,##0_);_(* \(#,##0\);_(* "-"??_);_(@_)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'Cuadro por tipo de casos'!$D$5</c:f>
              <c:strCache>
                <c:ptCount val="1"/>
                <c:pt idx="0">
                  <c:v>Denuncias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'Cuadro por tipo de casos'!$D$6:$D$17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'Cuadro por tipo de casos'!$E$5</c:f>
              <c:strCache>
                <c:ptCount val="1"/>
                <c:pt idx="0">
                  <c:v>Sugerencias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'Cuadro por tipo de casos'!$E$6:$E$17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57911552"/>
        <c:axId val="254568992"/>
      </c:barChart>
      <c:catAx>
        <c:axId val="2579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4568992"/>
        <c:crosses val="autoZero"/>
        <c:auto val="1"/>
        <c:lblAlgn val="ctr"/>
        <c:lblOffset val="100"/>
        <c:noMultiLvlLbl val="0"/>
      </c:catAx>
      <c:valAx>
        <c:axId val="254568992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257911552"/>
        <c:crosses val="autoZero"/>
        <c:crossBetween val="between"/>
      </c:valAx>
      <c:spPr>
        <a:solidFill>
          <a:schemeClr val="accent3">
            <a:lumMod val="7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txPr>
    <a:bodyPr/>
    <a:lstStyle/>
    <a:p>
      <a:pPr>
        <a:defRPr sz="1000"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DBBB-444B-4C06-900D-202FE9C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130</cp:revision>
  <cp:lastPrinted>2013-04-01T20:26:00Z</cp:lastPrinted>
  <dcterms:created xsi:type="dcterms:W3CDTF">2015-03-30T13:19:00Z</dcterms:created>
  <dcterms:modified xsi:type="dcterms:W3CDTF">2017-01-12T20:39:00Z</dcterms:modified>
</cp:coreProperties>
</file>